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glowberry-fabrication-inquiry"/>
    <w:p>
      <w:pPr>
        <w:pStyle w:val="Heading1"/>
      </w:pPr>
      <w:r>
        <w:t xml:space="preserve">Glowberry — fabrication inquiry</w:t>
      </w:r>
    </w:p>
    <w:p>
      <w:pPr>
        <w:pStyle w:val="FirstParagraph"/>
      </w:pPr>
      <w:r>
        <w:rPr>
          <w:b/>
          <w:bCs/>
        </w:rPr>
        <w:t xml:space="preserve">Studio Artefact · feasibility &amp; rough ranges</w:t>
      </w:r>
    </w:p>
    <w:p>
      <w:pPr>
        <w:pStyle w:val="BodyText"/>
      </w:pPr>
      <w:r>
        <w:rPr>
          <w:b/>
          <w:bCs/>
        </w:rPr>
        <w:t xml:space="preserve">Artist:</w:t>
      </w:r>
      <w:r>
        <w:t xml:space="preserve"> </w:t>
      </w:r>
      <w:r>
        <w:t xml:space="preserve">Adam Simms · Montreal</w:t>
      </w:r>
      <w:r>
        <w:br/>
      </w:r>
      <w:r>
        <w:rPr>
          <w:b/>
          <w:bCs/>
        </w:rPr>
        <w:t xml:space="preserve">Email:</w:t>
      </w:r>
      <w:r>
        <w:t xml:space="preserve"> </w:t>
      </w:r>
      <w:r>
        <w:t xml:space="preserve">hello@adamsimms.xyz ·</w:t>
      </w:r>
      <w:r>
        <w:t xml:space="preserve"> </w:t>
      </w:r>
      <w:r>
        <w:rPr>
          <w:b/>
          <w:bCs/>
        </w:rPr>
        <w:t xml:space="preserve">Web:</w:t>
      </w:r>
      <w:r>
        <w:t xml:space="preserve"> </w:t>
      </w:r>
      <w:r>
        <w:t xml:space="preserve">https://adamsimms.xyz</w:t>
      </w:r>
      <w:r>
        <w:br/>
      </w:r>
      <w:r>
        <w:rPr>
          <w:b/>
          <w:bCs/>
        </w:rPr>
        <w:t xml:space="preserve">Project:</w:t>
      </w:r>
      <w:r>
        <w:t xml:space="preserve"> </w:t>
      </w:r>
      <w:r>
        <w:t xml:space="preserve">https://github.com/adamsimms/glowberry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July 2026</w:t>
      </w:r>
    </w:p>
    <w:p>
      <w:pPr>
        <w:pStyle w:val="BodyText"/>
      </w:pPr>
      <w:r>
        <w:rPr>
          <w:i/>
          <w:iCs/>
        </w:rPr>
        <w:t xml:space="preserve">This is a feasibility brief for ballpark ranges and materials advice. Funding is open; not a purchase order.</w:t>
      </w:r>
    </w:p>
    <w:p>
      <w:r>
        <w:pict>
          <v:rect style="width:0;height:1.5pt" o:hralign="center" o:hrstd="t" o:hr="t"/>
        </w:pict>
      </w:r>
    </w:p>
    <w:bookmarkStart w:id="9" w:name="what-it-is"/>
    <w:p>
      <w:pPr>
        <w:pStyle w:val="Heading2"/>
      </w:pPr>
      <w:r>
        <w:t xml:space="preserve">1. What it is</w:t>
      </w:r>
    </w:p>
    <w:p>
      <w:pPr>
        <w:pStyle w:val="FirstParagraph"/>
      </w:pPr>
      <w:r>
        <w:rPr>
          <w:b/>
          <w:bCs/>
        </w:rPr>
        <w:t xml:space="preserve">Glowberry</w:t>
      </w:r>
      <w:r>
        <w:t xml:space="preserve"> </w:t>
      </w:r>
      <w:r>
        <w:t xml:space="preserve">is a monumental ripe</w:t>
      </w:r>
      <w:r>
        <w:t xml:space="preserve"> </w:t>
      </w:r>
      <w:r>
        <w:rPr>
          <w:b/>
          <w:bCs/>
        </w:rPr>
        <w:t xml:space="preserve">bakeapple</w:t>
      </w:r>
      <w:r>
        <w:t xml:space="preserve"> </w:t>
      </w:r>
      <w:r>
        <w:t xml:space="preserve">(cloudberry) — a pilgrimage sculpture with soft</w:t>
      </w:r>
      <w:r>
        <w:t xml:space="preserve"> </w:t>
      </w:r>
      <w:r>
        <w:rPr>
          <w:b/>
          <w:bCs/>
        </w:rPr>
        <w:t xml:space="preserve">heartbeat / breathing glow</w:t>
      </w:r>
      <w:r>
        <w:t xml:space="preserve"> </w:t>
      </w:r>
      <w:r>
        <w:t xml:space="preserve">in the flesh at dusk and night.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t xml:space="preserve">Awe + humor + uncanny presence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Interaction</w:t>
            </w:r>
          </w:p>
        </w:tc>
        <w:tc>
          <w:tcPr/>
          <w:p>
            <w:pPr>
              <w:pStyle w:val="Compact"/>
            </w:pPr>
            <w:r>
              <w:t xml:space="preserve">Touch, sit near, walk around, photograph —</w:t>
            </w:r>
            <w:r>
              <w:t xml:space="preserve"> </w:t>
            </w:r>
            <w:r>
              <w:rPr>
                <w:b/>
                <w:bCs/>
              </w:rPr>
              <w:t xml:space="preserve">no entering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Newfoundlanders and visitors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(outdoor)</w:t>
            </w:r>
          </w:p>
        </w:tc>
        <w:tc>
          <w:tcPr/>
          <w:p>
            <w:pPr>
              <w:pStyle w:val="Compact"/>
            </w:pPr>
            <w:r>
              <w:t xml:space="preserve">TBD — reachable NL (Avalon / Fogo / Bonavista-class); coastal plateau / shore–cliff character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Lineage</w:t>
            </w:r>
          </w:p>
        </w:tc>
        <w:tc>
          <w:tcPr/>
          <w:p>
            <w:pPr>
              <w:pStyle w:val="Compact"/>
            </w:pPr>
            <w:r>
              <w:t xml:space="preserve">Continues</w:t>
            </w:r>
            <w:r>
              <w:t xml:space="preserve"> </w:t>
            </w:r>
            <w:r>
              <w:rPr>
                <w:i/>
                <w:iCs/>
              </w:rPr>
              <w:t xml:space="preserve">Cloudberry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Light House</w:t>
            </w:r>
            <w:r>
              <w:t xml:space="preserve">, and related beacon / resettlement work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Not:</w:t>
      </w:r>
      <w:r>
        <w:t xml:space="preserve"> </w:t>
      </w:r>
      <w:r>
        <w:t xml:space="preserve">weather station, data dashboard, or enterable pavilion.</w:t>
      </w:r>
    </w:p>
    <w:p>
      <w:pPr>
        <w:pStyle w:val="BodyText"/>
      </w:pPr>
      <w:r>
        <w:rPr>
          <w:b/>
          <w:bCs/>
        </w:rPr>
        <w:t xml:space="preserve">References in spirit (not to copy):</w:t>
      </w:r>
      <w:r>
        <w:t xml:space="preserve"> </w:t>
      </w:r>
      <w:r>
        <w:t xml:space="preserve">Kusama</w:t>
      </w:r>
      <w:r>
        <w:t xml:space="preserve"> </w:t>
      </w:r>
      <w:r>
        <w:rPr>
          <w:i/>
          <w:iCs/>
        </w:rPr>
        <w:t xml:space="preserve">Yellow Pumpkin</w:t>
      </w:r>
      <w:r>
        <w:t xml:space="preserve"> </w:t>
      </w:r>
      <w:r>
        <w:t xml:space="preserve">(pilgrimage fruit); Turrell / Villareal (night light); Kapoor</w:t>
      </w:r>
      <w:r>
        <w:t xml:space="preserve"> </w:t>
      </w:r>
      <w:r>
        <w:rPr>
          <w:i/>
          <w:iCs/>
        </w:rPr>
        <w:t xml:space="preserve">Cloud Gate</w:t>
      </w:r>
      <w:r>
        <w:t xml:space="preserve"> </w:t>
      </w:r>
      <w:r>
        <w:t xml:space="preserve">(public touchable body) — executed as</w:t>
      </w:r>
      <w:r>
        <w:t xml:space="preserve"> </w:t>
      </w:r>
      <w:r>
        <w:rPr>
          <w:b/>
          <w:bCs/>
        </w:rPr>
        <w:t xml:space="preserve">translucent glowing flesh</w:t>
      </w:r>
      <w:r>
        <w:t xml:space="preserve">, not opaque paint or mirror steel.</w:t>
      </w:r>
    </w:p>
    <w:p>
      <w:r>
        <w:pict>
          <v:rect style="width:0;height:1.5pt" o:hralign="center" o:hrstd="t" o:hr="t"/>
        </w:pict>
      </w:r>
    </w:p>
    <w:bookmarkEnd w:id="9"/>
    <w:bookmarkStart w:id="10" w:name="look-build-intent"/>
    <w:p>
      <w:pPr>
        <w:pStyle w:val="Heading2"/>
      </w:pPr>
      <w:r>
        <w:t xml:space="preserve">2. Look &amp; build intent</w:t>
      </w:r>
    </w:p>
    <w:p>
      <w:pPr>
        <w:pStyle w:val="FirstParagraph"/>
      </w:pPr>
      <w:r>
        <w:rPr>
          <w:b/>
          <w:bCs/>
        </w:rPr>
        <w:t xml:space="preserve">Target:</w:t>
      </w:r>
      <w:r>
        <w:t xml:space="preserve"> </w:t>
      </w:r>
      <w:r>
        <w:t xml:space="preserve">semi-opaque</w:t>
      </w:r>
      <w:r>
        <w:t xml:space="preserve"> </w:t>
      </w:r>
      <w:r>
        <w:rPr>
          <w:b/>
          <w:bCs/>
        </w:rPr>
        <w:t xml:space="preserve">translucent glowing orange</w:t>
      </w:r>
      <w:r>
        <w:t xml:space="preserve"> </w:t>
      </w:r>
      <w:r>
        <w:t xml:space="preserve">(amber → vermillion).</w:t>
      </w:r>
    </w:p>
    <w:p>
      <w:pPr>
        <w:pStyle w:val="Compact"/>
        <w:numPr>
          <w:ilvl w:val="0"/>
          <w:numId w:val="1001"/>
        </w:numPr>
      </w:pPr>
      <w:r>
        <w:t xml:space="preserve">Hollow shell + internal diffusion + LEDs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Service</w:t>
      </w:r>
      <w:r>
        <w:t xml:space="preserve"> </w:t>
      </w:r>
      <w:r>
        <w:rPr>
          <w:b/>
          <w:bCs/>
        </w:rPr>
        <w:t xml:space="preserve">hatch at stem / bottom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Daytime: readable as fruit;</w:t>
      </w:r>
      <w:r>
        <w:t xml:space="preserve"> </w:t>
      </w:r>
      <w:r>
        <w:rPr>
          <w:b/>
          <w:bCs/>
        </w:rPr>
        <w:t xml:space="preserve">night: the show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Outdoor: occasional dark nights OK</w:t>
      </w:r>
    </w:p>
    <w:p>
      <w:pPr>
        <w:pStyle w:val="FirstParagraph"/>
      </w:pPr>
      <w:r>
        <w:rPr>
          <w:b/>
          <w:bCs/>
        </w:rPr>
        <w:t xml:space="preserve">Materials of interest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99"/>
        <w:gridCol w:w="44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Prefer discussing</w:t>
            </w:r>
          </w:p>
        </w:tc>
        <w:tc>
          <w:tcPr/>
          <w:p>
            <w:pPr>
              <w:pStyle w:val="Compact"/>
            </w:pPr>
            <w:r>
              <w:t xml:space="preserve">Avoid as primary skin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Translucent</w:t>
            </w:r>
            <w:r>
              <w:t xml:space="preserve"> </w:t>
            </w:r>
            <w:r>
              <w:rPr>
                <w:b/>
                <w:bCs/>
              </w:rPr>
              <w:t xml:space="preserve">PETG</w:t>
            </w:r>
            <w:r>
              <w:t xml:space="preserve"> </w:t>
            </w:r>
            <w:r>
              <w:t xml:space="preserve">(your large-format print)</w:t>
            </w:r>
          </w:p>
        </w:tc>
        <w:tc>
          <w:tcPr/>
          <w:p>
            <w:pPr>
              <w:pStyle w:val="Compact"/>
            </w:pPr>
            <w:r>
              <w:t xml:space="preserve">Fully opaque paint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Thin</w:t>
            </w:r>
            <w:r>
              <w:t xml:space="preserve"> </w:t>
            </w:r>
            <w:r>
              <w:rPr>
                <w:b/>
                <w:bCs/>
              </w:rPr>
              <w:t xml:space="preserve">translucent</w:t>
            </w:r>
            <w:r>
              <w:t xml:space="preserve"> </w:t>
            </w:r>
            <w:r>
              <w:t xml:space="preserve">tinted coat +</w:t>
            </w:r>
            <w:r>
              <w:t xml:space="preserve"> </w:t>
            </w:r>
            <w:r>
              <w:rPr>
                <w:b/>
                <w:bCs/>
              </w:rPr>
              <w:t xml:space="preserve">UV-stable aliphatic clear</w:t>
            </w:r>
          </w:p>
        </w:tc>
        <w:tc>
          <w:tcPr/>
          <w:p>
            <w:pPr>
              <w:pStyle w:val="Compact"/>
            </w:pPr>
            <w:r>
              <w:t xml:space="preserve">Polished stainless as the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translucent</w:t>
            </w:r>
            <w:r>
              <w:t xml:space="preserve"> </w:t>
            </w:r>
            <w:r>
              <w:rPr>
                <w:b/>
                <w:bCs/>
              </w:rPr>
              <w:t xml:space="preserve">FRP</w:t>
            </w:r>
            <w:r>
              <w:t xml:space="preserve"> </w:t>
            </w:r>
            <w:r>
              <w:t xml:space="preserve">handoff if print isn’t right for outdoor NL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Systems (may be separate scope from shell quote)</w:t>
      </w:r>
      <w:r>
        <w:br/>
      </w:r>
      <w:r>
        <w:t xml:space="preserve">Gallery (≤ ~60”): AC and/or battery, ~5–8 h evenings. Outdoor (~7–10 ft): solar hidden in/under base and/or grid; ESP32-class heartbeat controller — not Raspberry Pi for v1.</w:t>
      </w:r>
    </w:p>
    <w:p>
      <w:r>
        <w:pict>
          <v:rect style="width:0;height:1.5pt" o:hralign="center" o:hrstd="t" o:hr="t"/>
        </w:pict>
      </w:r>
    </w:p>
    <w:bookmarkEnd w:id="10"/>
    <w:bookmarkStart w:id="11" w:name="geometry-files"/>
    <w:p>
      <w:pPr>
        <w:pStyle w:val="Heading2"/>
      </w:pPr>
      <w:r>
        <w:t xml:space="preserve">3. Geometry &amp; files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Drupelets only (no calyx, stem, leaves, hairs)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Master</w:t>
            </w:r>
          </w:p>
        </w:tc>
        <w:tc>
          <w:tcPr/>
          <w:p>
            <w:pPr>
              <w:pStyle w:val="Compact"/>
            </w:pPr>
            <w:r>
              <w:t xml:space="preserve">~447 × 460 ×</w:t>
            </w:r>
            <w:r>
              <w:t xml:space="preserve"> </w:t>
            </w:r>
            <w:r>
              <w:rPr>
                <w:b/>
                <w:bCs/>
              </w:rPr>
              <w:t xml:space="preserve">500 mm</w:t>
            </w:r>
            <w:r>
              <w:t xml:space="preserve"> </w:t>
            </w:r>
            <w:r>
              <w:t xml:space="preserve">tall; units</w:t>
            </w:r>
            <w:r>
              <w:t xml:space="preserve"> </w:t>
            </w:r>
            <w:r>
              <w:rPr>
                <w:b/>
                <w:bCs/>
              </w:rPr>
              <w:t xml:space="preserve">meters</w:t>
            </w:r>
            <w:r>
              <w:t xml:space="preserve">; manifold / watertight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Orientation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−Z = stem / attachment</w:t>
            </w:r>
            <w:r>
              <w:t xml:space="preserve"> </w:t>
            </w:r>
            <w:r>
              <w:t xml:space="preserve">(bottom when upright)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Scale</w:t>
            </w:r>
          </w:p>
        </w:tc>
        <w:tc>
          <w:tcPr/>
          <w:p>
            <w:pPr>
              <w:pStyle w:val="Compact"/>
            </w:pPr>
            <w:r>
              <w:t xml:space="preserve">Uniform scale from 500 mm master per tier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STL uncolored — translucency / LEDs are finish + systems</w:t>
            </w:r>
          </w:p>
        </w:tc>
      </w:tr>
    </w:tbl>
    <w:p>
      <w:pPr>
        <w:pStyle w:val="BodyText"/>
      </w:pPr>
      <w:r>
        <w:rPr>
          <w:b/>
          <w:bCs/>
        </w:rPr>
        <w:t xml:space="preserve">Available on request (WeTransfer):</w:t>
      </w:r>
      <w:r>
        <w:t xml:space="preserve"> </w:t>
      </w:r>
      <w:r>
        <w:t xml:space="preserve">production STL (~484k tris), preview STL, OBJ, Blender source. Preview stills and berry photo refs accompany this PDF.</w:t>
      </w:r>
    </w:p>
    <w:p>
      <w:r>
        <w:pict>
          <v:rect style="width:0;height:1.5pt" o:hralign="center" o:hrstd="t" o:hr="t"/>
        </w:pict>
      </w:r>
    </w:p>
    <w:bookmarkEnd w:id="11"/>
    <w:bookmarkStart w:id="16" w:name="please-quote-advise"/>
    <w:p>
      <w:pPr>
        <w:pStyle w:val="Heading2"/>
      </w:pPr>
      <w:r>
        <w:t xml:space="preserve">4. Please quote / advise</w:t>
      </w:r>
    </w:p>
    <w:bookmarkStart w:id="12" w:name="tier-a-2030-gallery"/>
    <w:p>
      <w:pPr>
        <w:pStyle w:val="Heading3"/>
      </w:pPr>
      <w:r>
        <w:t xml:space="preserve">Tier A — 20–30” (gallery)</w:t>
      </w:r>
    </w:p>
    <w:p>
      <w:pPr>
        <w:pStyle w:val="Compact"/>
        <w:numPr>
          <w:ilvl w:val="0"/>
          <w:numId w:val="1002"/>
        </w:numPr>
      </w:pPr>
      <w:r>
        <w:t xml:space="preserve">Prefer</w:t>
      </w:r>
      <w:r>
        <w:t xml:space="preserve"> </w:t>
      </w:r>
      <w:r>
        <w:rPr>
          <w:b/>
          <w:bCs/>
        </w:rPr>
        <w:t xml:space="preserve">one piece on 1 m³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Translucent / light-passing build + internal LED access hatch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Power: plug-in / battery (LED install optional add-on)</w:t>
      </w:r>
    </w:p>
    <w:bookmarkEnd w:id="12"/>
    <w:bookmarkStart w:id="13" w:name="tier-b-5060-gallery"/>
    <w:p>
      <w:pPr>
        <w:pStyle w:val="Heading3"/>
      </w:pPr>
      <w:r>
        <w:t xml:space="preserve">Tier B — 50–60” (gallery)</w:t>
      </w:r>
    </w:p>
    <w:p>
      <w:pPr>
        <w:pStyle w:val="Compact"/>
        <w:numPr>
          <w:ilvl w:val="0"/>
          <w:numId w:val="1003"/>
        </w:numPr>
      </w:pPr>
      <w:r>
        <w:t xml:space="preserve">One berry; please price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split across</w:t>
      </w:r>
      <w:r>
        <w:t xml:space="preserve"> </w:t>
      </w:r>
      <w:r>
        <w:rPr>
          <w:b/>
          <w:bCs/>
        </w:rPr>
        <w:t xml:space="preserve">1 m³</w:t>
      </w:r>
      <w:r>
        <w:t xml:space="preserve"> </w:t>
      </w:r>
      <w:r>
        <w:t xml:space="preserve">+ join,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1"/>
          <w:numId w:val="1004"/>
        </w:numPr>
      </w:pPr>
      <w:r>
        <w:t xml:space="preserve">one piece on</w:t>
      </w:r>
      <w:r>
        <w:t xml:space="preserve"> </w:t>
      </w:r>
      <w:r>
        <w:rPr>
          <w:b/>
          <w:bCs/>
        </w:rPr>
        <w:t xml:space="preserve">20 m³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Same translucent glow intent</w:t>
      </w:r>
    </w:p>
    <w:bookmarkEnd w:id="13"/>
    <w:bookmarkStart w:id="14" w:name="tier-c-710-ft-outdoor-landmark"/>
    <w:p>
      <w:pPr>
        <w:pStyle w:val="Heading3"/>
      </w:pPr>
      <w:r>
        <w:t xml:space="preserve">Tier C — ~7–10 ft (outdoor landmark)</w:t>
      </w:r>
    </w:p>
    <w:p>
      <w:pPr>
        <w:pStyle w:val="Compact"/>
        <w:numPr>
          <w:ilvl w:val="0"/>
          <w:numId w:val="1005"/>
        </w:numPr>
      </w:pPr>
      <w:r>
        <w:t xml:space="preserve">Prefer one piece on</w:t>
      </w:r>
      <w:r>
        <w:t xml:space="preserve"> </w:t>
      </w:r>
      <w:r>
        <w:rPr>
          <w:b/>
          <w:bCs/>
        </w:rPr>
        <w:t xml:space="preserve">20 m³</w:t>
      </w:r>
      <w:r>
        <w:t xml:space="preserve"> </w:t>
      </w:r>
      <w:r>
        <w:t xml:space="preserve">if feasible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Outdoor UV / weather; anchoring for coastal plateau; hatch for electronics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Advice: translucent PETG + clear/tinted weather face</w:t>
      </w:r>
      <w:r>
        <w:t xml:space="preserve"> </w:t>
      </w:r>
      <w:r>
        <w:rPr>
          <w:b/>
          <w:bCs/>
        </w:rPr>
        <w:t xml:space="preserve">vs</w:t>
      </w:r>
      <w:r>
        <w:t xml:space="preserve"> </w:t>
      </w:r>
      <w:r>
        <w:t xml:space="preserve">FRP; wall thickness; mass; install notes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Solar / grid may be separate — advise if you integrate LEDs or partner on power</w:t>
      </w:r>
    </w:p>
    <w:bookmarkEnd w:id="14"/>
    <w:bookmarkStart w:id="15" w:name="cross-cutting-questions"/>
    <w:p>
      <w:pPr>
        <w:pStyle w:val="Heading3"/>
      </w:pPr>
      <w:r>
        <w:t xml:space="preserve">Cross-cutting questions</w:t>
      </w:r>
    </w:p>
    <w:p>
      <w:pPr>
        <w:pStyle w:val="Compact"/>
        <w:numPr>
          <w:ilvl w:val="0"/>
          <w:numId w:val="1006"/>
        </w:numPr>
      </w:pPr>
      <w:r>
        <w:t xml:space="preserve">Best translucent PETG grade / wall thickness for gallery vs outdoor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Compatible</w:t>
      </w:r>
      <w:r>
        <w:t xml:space="preserve"> </w:t>
      </w:r>
      <w:r>
        <w:rPr>
          <w:b/>
          <w:bCs/>
        </w:rPr>
        <w:t xml:space="preserve">translucent</w:t>
      </w:r>
      <w:r>
        <w:t xml:space="preserve"> </w:t>
      </w:r>
      <w:r>
        <w:t xml:space="preserve">outdoor coatings that still pass light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How you prefer to handle internal ribs vs even glow (diffusion cavity)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Rough timeline from approved files to delivery for each tier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What you need next from me for a firmer quote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process-note"/>
    <w:p>
      <w:pPr>
        <w:pStyle w:val="Heading2"/>
      </w:pPr>
      <w:r>
        <w:t xml:space="preserve">5. Process note</w:t>
      </w:r>
    </w:p>
    <w:p>
      <w:pPr>
        <w:pStyle w:val="FirstParagraph"/>
      </w:pPr>
      <w:r>
        <w:t xml:space="preserve">I am happy to co-design materials, hatch detail, and wall strategy with your team after an initial feasibility read. Open R&amp;D notes (concept, materials, power):</w:t>
      </w:r>
      <w:r>
        <w:t xml:space="preserve"> </w:t>
      </w:r>
      <w:r>
        <w:rPr>
          <w:b/>
          <w:bCs/>
        </w:rPr>
        <w:t xml:space="preserve">https://github.com/adamsimms/glowberry</w:t>
      </w:r>
    </w:p>
    <w:p>
      <w:pPr>
        <w:pStyle w:val="BodyText"/>
      </w:pPr>
      <w:r>
        <w:t xml:space="preserve">Thank you —</w:t>
      </w:r>
      <w:r>
        <w:br/>
      </w:r>
      <w:r>
        <w:rPr>
          <w:b/>
          <w:bCs/>
        </w:rPr>
        <w:t xml:space="preserve">Adam Simms</w:t>
      </w:r>
      <w:r>
        <w:br/>
      </w:r>
      <w:r>
        <w:t xml:space="preserve">hello@adamsimms.xyz · [phone]</w:t>
      </w:r>
      <w:r>
        <w:br/>
      </w:r>
      <w:r>
        <w:t xml:space="preserve">Montreal, QC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2026-07-27T17:24:40Z</dcterms:created>
  <dcterms:modified xsi:type="dcterms:W3CDTF">2026-07-27T17:24:40Z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