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Plan and track job supplies</w:t>
      </w:r>
    </w:p>
    <w:p>
      <w:r>
        <w:rPr>
          <w:b/>
          <w:color w:val="D9480F"/>
          <w:sz w:val="44"/>
        </w:rPr>
        <w:t>Material List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PROJECT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SUPPLIER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c>
          <w:tcPr>
            <w:tcW w:type="dxa" w:w="1697"/>
            <w:shd w:val="clear" w:fill="E6F4F1"/>
          </w:tcPr>
          <w:p>
            <w:r>
              <w:rPr>
                <w:b/>
                <w:color w:val="D9480F"/>
                <w:sz w:val="16"/>
              </w:rPr>
              <w:t>ITEM / DESCRIPTION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D9480F"/>
                <w:sz w:val="16"/>
              </w:rPr>
              <w:t>SIZE / SPEC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D9480F"/>
                <w:sz w:val="16"/>
              </w:rPr>
              <w:t>QTY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D9480F"/>
                <w:sz w:val="16"/>
              </w:rPr>
              <w:t>UNIT COST ($)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D9480F"/>
                <w:sz w:val="16"/>
              </w:rPr>
              <w:t>TOTAL ($)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D9480F"/>
                <w:sz w:val="16"/>
              </w:rPr>
              <w:t>BOUGHT</w:t>
            </w:r>
          </w:p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MATERIALS SUBTOTAL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TOTAL ($)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NOTES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05/08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