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Parent - provider contract</w:t>
      </w:r>
    </w:p>
    <w:p>
      <w:r>
        <w:rPr>
          <w:b/>
          <w:color w:val="C2553F"/>
          <w:sz w:val="44"/>
        </w:rPr>
        <w:t>Childcare Services Agreement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C2553F"/>
          </w:tcPr>
          <w:p>
            <w:r>
              <w:rPr>
                <w:b/>
                <w:color w:val="FFFFFF"/>
                <w:sz w:val="21"/>
              </w:rPr>
              <w:t>PARTIES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PROVIDER / PROGRAM NAME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PROVIDER ADDRESS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EMAIL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PARENT / GUARDIAN NAME(S)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CHILD'S NAME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DATE OF BIRTH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C2553F"/>
          </w:tcPr>
          <w:p>
            <w:r>
              <w:rPr>
                <w:b/>
                <w:color w:val="FFFFFF"/>
                <w:sz w:val="21"/>
              </w:rPr>
              <w:t>SCHEDULE &amp; FEES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c>
          <w:tcPr>
            <w:tcW w:type="dxa" w:w="2545"/>
          </w:tcPr>
          <w:p>
            <w:r>
              <w:rPr>
                <w:sz w:val="20"/>
              </w:rPr>
              <w:t>☐  Full time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Part time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Before / after school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Drop-in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DAYS OF CARE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HOURS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START DATE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RATE ($ PER WEEK / MONTH)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PAYMENT DUE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REGISTRATION FEE ($)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C2553F"/>
          </w:tcPr>
          <w:p>
            <w:r>
              <w:rPr>
                <w:b/>
                <w:color w:val="FFFFFF"/>
                <w:sz w:val="21"/>
              </w:rPr>
              <w:t>POLICIES</w:t>
            </w:r>
          </w:p>
        </w:tc>
      </w:tr>
    </w:tbl>
    <w:p>
      <w:pPr>
        <w:ind w:left="216"/>
      </w:pPr>
      <w:r>
        <w:rPr>
          <w:sz w:val="18"/>
        </w:rPr>
        <w:t>1. Hours. Care is provided during the hours above. A late pick-up fee per minute (shown below) applies after closing time.</w:t>
      </w:r>
    </w:p>
    <w:p>
      <w:pPr>
        <w:ind w:left="216"/>
      </w:pPr>
      <w:r>
        <w:rPr>
          <w:sz w:val="18"/>
        </w:rPr>
        <w:t>2. Payment. Fees are due in advance on the due date. Care may be paused if payment is more than 7 days late.</w:t>
      </w:r>
    </w:p>
    <w:p>
      <w:pPr>
        <w:ind w:left="216"/>
      </w:pPr>
      <w:r>
        <w:rPr>
          <w:sz w:val="18"/>
        </w:rPr>
        <w:t>3. Absences and holidays. Fees are charged for the child's reserved spot, including sick days and family vacations, unless stated otherwise.</w:t>
      </w:r>
    </w:p>
    <w:p>
      <w:pPr>
        <w:ind w:left="216"/>
      </w:pPr>
      <w:r>
        <w:rPr>
          <w:sz w:val="18"/>
        </w:rPr>
        <w:t>4. Illness. Children with fever, vomiting, diarrhea or a contagious condition stay home until symptom-free for 24 hours.</w:t>
      </w:r>
    </w:p>
    <w:p>
      <w:pPr>
        <w:ind w:left="216"/>
      </w:pPr>
      <w:r>
        <w:rPr>
          <w:sz w:val="18"/>
        </w:rPr>
        <w:t>5. Meals. The provider serves the meals and snacks listed in the parent handbook; parents inform the provider of any allergy in writing.</w:t>
      </w:r>
    </w:p>
    <w:p>
      <w:pPr>
        <w:ind w:left="216"/>
      </w:pPr>
      <w:r>
        <w:rPr>
          <w:sz w:val="18"/>
        </w:rPr>
        <w:t>6. Pick-up. Children are released only to the parents or adults listed on the Authorized Pick-Up form, with photo ID.</w:t>
      </w:r>
    </w:p>
    <w:p>
      <w:pPr>
        <w:ind w:left="216"/>
      </w:pPr>
      <w:r>
        <w:rPr>
          <w:sz w:val="18"/>
        </w:rPr>
        <w:t>7. Termination. Either party may end this agreement with 2 weeks written notice. Immediate termination may apply for safety reasons.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LATE PICK-UP FEE ($ / MIN)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NOTICE PERIOD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HOLIDAYS CLOSED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p>
      <w:r>
        <w:t>Provider signature: ______________________________    Date: ____________</w:t>
      </w:r>
    </w:p>
    <w:p>
      <w:r>
        <w:t>Parent / guardian signature: ______________________________    Date: ____________</w:t>
      </w:r>
    </w:p>
    <w:p>
      <w:r>
        <w:rPr>
          <w:i/>
          <w:sz w:val="16"/>
        </w:rPr>
        <w:t>General template, not legal advice. Check licensing rules and laws in your state or country.</w:t>
      </w:r>
    </w:p>
    <w:sectPr w:rsidR="00FC693F" w:rsidRPr="0006063C" w:rsidSect="00034616">
      <w:footerReference w:type="default" r:id="rId9"/>
      <w:pgSz w:w="11909" w:h="16834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Childcare Forms Kit · 01/10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