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Please complete one form per child</w:t>
      </w:r>
    </w:p>
    <w:p>
      <w:r>
        <w:rPr>
          <w:b/>
          <w:color w:val="C2553F"/>
          <w:sz w:val="44"/>
        </w:rPr>
        <w:t>Child Enrollment Form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CHILD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FULL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NICKNAME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GENDER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HOME ADDRESS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PARENT / GUARDIAN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MOBILE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WORK PHONE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EMPLOYER AND WORK ADDRESS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PARENT / GUARDIAN 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MOBILE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WORK PHONE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EMERGENCY CONTACTS (OTHER THAN PARENTS)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NAME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RELATIONSHIP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PHONE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CAN PICK UP?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ABOUT YOUR CHILD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LANGUAGES SPOKEN AT HOME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NAP ROUTINE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COMFORT ITEMS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LIKES, FEARS, ANYTHING WE SHOULD KNOW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02/10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