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F1D" w:rsidRDefault="00214702">
      <w:pPr>
        <w:pStyle w:val="Heading1"/>
      </w:pPr>
      <w:bookmarkStart w:id="0" w:name="header"/>
      <w:bookmarkStart w:id="1" w:name="chapter-four-results-and-interpretation"/>
      <w:bookmarkStart w:id="2" w:name="content"/>
      <w:bookmarkEnd w:id="0"/>
      <w:r>
        <w:t>Chapter Four: Results and Interpretation</w:t>
      </w:r>
    </w:p>
    <w:p w:rsidR="00662F1D" w:rsidRDefault="00214702">
      <w:pPr>
        <w:pStyle w:val="Heading2"/>
      </w:pPr>
      <w:bookmarkStart w:id="3" w:name="X29337c2c4fb90639f37b12ebf09236c282985f9"/>
      <w:r>
        <w:t>Descriptive Characteristics of Respondents</w:t>
      </w:r>
    </w:p>
    <w:p w:rsidR="00662F1D" w:rsidRDefault="00214702">
      <w:pPr>
        <w:pStyle w:val="FirstParagraph"/>
      </w:pPr>
      <w:r>
        <w:t xml:space="preserve">The study surveyed a total of 280 participants (farmers </w:t>
      </w:r>
      <w:r>
        <w:rPr>
          <w:i/>
          <w:iCs/>
        </w:rPr>
        <w:t>n</w:t>
      </w:r>
      <w:r>
        <w:t> </w:t>
      </w:r>
      <w:r>
        <w:t xml:space="preserve">= 180; buyers </w:t>
      </w:r>
      <w:r>
        <w:rPr>
          <w:i/>
          <w:iCs/>
        </w:rPr>
        <w:t>n</w:t>
      </w:r>
      <w:r>
        <w:t> </w:t>
      </w:r>
      <w:r>
        <w:t>= 100). The average age was 38.2 years (SD 11.4) overall, with no significant difference between GroChain users and non-users (Table 4.1). Most respondents were female (60%), and this did not differ significantly by platform use. Secondary education was m</w:t>
      </w:r>
      <w:r>
        <w:t>ost common (44% of all respondents), while 17% had no formal education; a higher proportion of non-users lacked any schooling (21% vs 14% among users). By local area, respondents were roughly evenly split: Ilorin East (33%), Ilorin West (33%), and Ilorin S</w:t>
      </w:r>
      <w:r>
        <w:t>outh (34%). Average household size was about 5.5 persons and did not differ by use status (Table 4.1).</w:t>
      </w:r>
    </w:p>
    <w:p w:rsidR="00662F1D" w:rsidRDefault="00214702">
      <w:pPr>
        <w:pStyle w:val="BodyText"/>
      </w:pPr>
      <w:r>
        <w:t>Food insecurity (HFIAS) and women’s dietary diversity (MDD-W) outcomes are summarised in Table 4.1. The overall mean HFIAS score was 7.8 (SD 4.6), indica</w:t>
      </w:r>
      <w:r>
        <w:t xml:space="preserve">ting moderate food insecurity on average (scale 0–27). Only 4.6% of households were fully food secure (HFIAS = 0); 48% had </w:t>
      </w:r>
      <w:r>
        <w:rPr>
          <w:i/>
          <w:iCs/>
        </w:rPr>
        <w:t>mild</w:t>
      </w:r>
      <w:r>
        <w:t xml:space="preserve">, 39% </w:t>
      </w:r>
      <w:r>
        <w:rPr>
          <w:i/>
          <w:iCs/>
        </w:rPr>
        <w:t>moderate</w:t>
      </w:r>
      <w:r>
        <w:t xml:space="preserve">, and 8% </w:t>
      </w:r>
      <w:r>
        <w:rPr>
          <w:i/>
          <w:iCs/>
        </w:rPr>
        <w:t>severe</w:t>
      </w:r>
      <w:r>
        <w:t xml:space="preserve"> food insecurity. Women’s mean dietary diversity score was 4.6 (SD 1.5) out of 10, with 55% of women</w:t>
      </w:r>
      <w:r>
        <w:t xml:space="preserve"> achieving the minimum dietary diversity (≥5 food groups). GroChain users reported higher diet diversity: 63% of women in user households met MDD-W (95% CI 53–72%) versus 43% of non-users (95% CI 31–55%). Overall, users tended to have slightly smaller fami</w:t>
      </w:r>
      <w:r>
        <w:t>lies and higher incomes, but these differences were not statistically significant.</w:t>
      </w:r>
    </w:p>
    <w:p w:rsidR="00662F1D" w:rsidRDefault="00214702">
      <w:pPr>
        <w:pStyle w:val="BodyText"/>
      </w:pPr>
      <w:r>
        <w:rPr>
          <w:b/>
          <w:bCs/>
        </w:rPr>
        <w:t>Table 4.1.</w:t>
      </w:r>
      <w:r>
        <w:t xml:space="preserve"> Sample characteristics by GroChain platform use status (N = 280). </w:t>
      </w:r>
      <w:r>
        <w:rPr>
          <w:i/>
          <w:iCs/>
        </w:rPr>
        <w:t>Means (SD)</w:t>
      </w:r>
      <w:r>
        <w:t xml:space="preserve"> or </w:t>
      </w:r>
      <w:r>
        <w:rPr>
          <w:i/>
          <w:iCs/>
        </w:rPr>
        <w:t>n (%)</w:t>
      </w:r>
      <w:r>
        <w:t xml:space="preserve"> are shown for each group. p-values from t-tests, chi-square, or Mann–Whitney</w:t>
      </w:r>
      <w:r>
        <w:t xml:space="preserve"> tests are provided where applicable. HFIAS = household food insecurity access score; MDD-W = minimum dietary diversity for women. For brevity, only key variables are shown here (see text for narrative results).</w:t>
      </w:r>
    </w:p>
    <w:tbl>
      <w:tblPr>
        <w:tblStyle w:val="Table"/>
        <w:tblW w:w="0" w:type="auto"/>
        <w:tblLook w:val="0020" w:firstRow="1" w:lastRow="0" w:firstColumn="0" w:lastColumn="0" w:noHBand="0" w:noVBand="0"/>
      </w:tblPr>
      <w:tblGrid>
        <w:gridCol w:w="2912"/>
        <w:gridCol w:w="1284"/>
        <w:gridCol w:w="1364"/>
        <w:gridCol w:w="1579"/>
        <w:gridCol w:w="2437"/>
      </w:tblGrid>
      <w:tr w:rsidR="00662F1D" w:rsidTr="00662F1D">
        <w:trPr>
          <w:cnfStyle w:val="100000000000" w:firstRow="1" w:lastRow="0" w:firstColumn="0" w:lastColumn="0" w:oddVBand="0" w:evenVBand="0" w:oddHBand="0" w:evenHBand="0" w:firstRowFirstColumn="0" w:firstRowLastColumn="0" w:lastRowFirstColumn="0" w:lastRowLastColumn="0"/>
          <w:tblHeader/>
        </w:trPr>
        <w:tc>
          <w:tcPr>
            <w:tcW w:w="0" w:type="auto"/>
          </w:tcPr>
          <w:p w:rsidR="00662F1D" w:rsidRDefault="00214702">
            <w:pPr>
              <w:pStyle w:val="Compact"/>
            </w:pPr>
            <w:r>
              <w:t>Variable</w:t>
            </w:r>
          </w:p>
        </w:tc>
        <w:tc>
          <w:tcPr>
            <w:tcW w:w="0" w:type="auto"/>
          </w:tcPr>
          <w:p w:rsidR="00662F1D" w:rsidRDefault="00214702">
            <w:pPr>
              <w:pStyle w:val="Compact"/>
              <w:jc w:val="right"/>
            </w:pPr>
            <w:r>
              <w:t>All (N=280)</w:t>
            </w:r>
          </w:p>
        </w:tc>
        <w:tc>
          <w:tcPr>
            <w:tcW w:w="0" w:type="auto"/>
          </w:tcPr>
          <w:p w:rsidR="00662F1D" w:rsidRDefault="00214702">
            <w:pPr>
              <w:pStyle w:val="Compact"/>
              <w:jc w:val="right"/>
            </w:pPr>
            <w:r>
              <w:t>Users (n=169)</w:t>
            </w:r>
          </w:p>
        </w:tc>
        <w:tc>
          <w:tcPr>
            <w:tcW w:w="0" w:type="auto"/>
          </w:tcPr>
          <w:p w:rsidR="00662F1D" w:rsidRDefault="00214702">
            <w:pPr>
              <w:pStyle w:val="Compact"/>
              <w:jc w:val="right"/>
            </w:pPr>
            <w:r>
              <w:t>Non-users</w:t>
            </w:r>
            <w:r>
              <w:t xml:space="preserve"> (n=111)</w:t>
            </w:r>
          </w:p>
        </w:tc>
        <w:tc>
          <w:tcPr>
            <w:tcW w:w="0" w:type="auto"/>
          </w:tcPr>
          <w:p w:rsidR="00662F1D" w:rsidRDefault="00214702">
            <w:pPr>
              <w:pStyle w:val="Compact"/>
            </w:pPr>
            <w:r>
              <w:t>Test statistic (p-value)</w:t>
            </w:r>
          </w:p>
        </w:tc>
      </w:tr>
      <w:tr w:rsidR="00662F1D">
        <w:tc>
          <w:tcPr>
            <w:tcW w:w="0" w:type="auto"/>
          </w:tcPr>
          <w:p w:rsidR="00662F1D" w:rsidRDefault="00214702">
            <w:pPr>
              <w:pStyle w:val="Compact"/>
            </w:pPr>
            <w:r>
              <w:rPr>
                <w:b/>
                <w:bCs/>
              </w:rPr>
              <w:t>Age (years), mean (SD)</w:t>
            </w:r>
          </w:p>
        </w:tc>
        <w:tc>
          <w:tcPr>
            <w:tcW w:w="0" w:type="auto"/>
          </w:tcPr>
          <w:p w:rsidR="00662F1D" w:rsidRDefault="00214702">
            <w:pPr>
              <w:pStyle w:val="Compact"/>
              <w:jc w:val="right"/>
            </w:pPr>
            <w:r>
              <w:t>38.2 (11.4)</w:t>
            </w:r>
          </w:p>
        </w:tc>
        <w:tc>
          <w:tcPr>
            <w:tcW w:w="0" w:type="auto"/>
          </w:tcPr>
          <w:p w:rsidR="00662F1D" w:rsidRDefault="00214702">
            <w:pPr>
              <w:pStyle w:val="Compact"/>
              <w:jc w:val="right"/>
            </w:pPr>
            <w:r>
              <w:t>38.3 (10.9)</w:t>
            </w:r>
          </w:p>
        </w:tc>
        <w:tc>
          <w:tcPr>
            <w:tcW w:w="0" w:type="auto"/>
          </w:tcPr>
          <w:p w:rsidR="00662F1D" w:rsidRDefault="00214702">
            <w:pPr>
              <w:pStyle w:val="Compact"/>
              <w:jc w:val="right"/>
            </w:pPr>
            <w:r>
              <w:t>38.2 (12.1)</w:t>
            </w:r>
          </w:p>
        </w:tc>
        <w:tc>
          <w:tcPr>
            <w:tcW w:w="0" w:type="auto"/>
          </w:tcPr>
          <w:p w:rsidR="00662F1D" w:rsidRDefault="00214702">
            <w:pPr>
              <w:pStyle w:val="Compact"/>
            </w:pPr>
            <w:r>
              <w:t>t(278)=0.05, p=.959</w:t>
            </w:r>
          </w:p>
        </w:tc>
      </w:tr>
      <w:tr w:rsidR="00662F1D">
        <w:tc>
          <w:tcPr>
            <w:tcW w:w="0" w:type="auto"/>
          </w:tcPr>
          <w:p w:rsidR="00662F1D" w:rsidRDefault="00214702">
            <w:pPr>
              <w:pStyle w:val="Compact"/>
            </w:pPr>
            <w:r>
              <w:rPr>
                <w:b/>
                <w:bCs/>
              </w:rPr>
              <w:t>Household size, mean (SD)</w:t>
            </w:r>
          </w:p>
        </w:tc>
        <w:tc>
          <w:tcPr>
            <w:tcW w:w="0" w:type="auto"/>
          </w:tcPr>
          <w:p w:rsidR="00662F1D" w:rsidRDefault="00214702">
            <w:pPr>
              <w:pStyle w:val="Compact"/>
              <w:jc w:val="right"/>
            </w:pPr>
            <w:r>
              <w:t>5.5 (2.1)</w:t>
            </w:r>
          </w:p>
        </w:tc>
        <w:tc>
          <w:tcPr>
            <w:tcW w:w="0" w:type="auto"/>
          </w:tcPr>
          <w:p w:rsidR="00662F1D" w:rsidRDefault="00214702">
            <w:pPr>
              <w:pStyle w:val="Compact"/>
              <w:jc w:val="right"/>
            </w:pPr>
            <w:r>
              <w:t>5.4 (1.9)</w:t>
            </w:r>
          </w:p>
        </w:tc>
        <w:tc>
          <w:tcPr>
            <w:tcW w:w="0" w:type="auto"/>
          </w:tcPr>
          <w:p w:rsidR="00662F1D" w:rsidRDefault="00214702">
            <w:pPr>
              <w:pStyle w:val="Compact"/>
              <w:jc w:val="right"/>
            </w:pPr>
            <w:r>
              <w:t>5.6 (2.3)</w:t>
            </w:r>
          </w:p>
        </w:tc>
        <w:tc>
          <w:tcPr>
            <w:tcW w:w="0" w:type="auto"/>
          </w:tcPr>
          <w:p w:rsidR="00662F1D" w:rsidRDefault="00214702">
            <w:pPr>
              <w:pStyle w:val="Compact"/>
            </w:pPr>
            <w:r>
              <w:t>t(278)=0.84, p=.401</w:t>
            </w:r>
          </w:p>
        </w:tc>
      </w:tr>
      <w:tr w:rsidR="00662F1D">
        <w:tc>
          <w:tcPr>
            <w:tcW w:w="0" w:type="auto"/>
          </w:tcPr>
          <w:p w:rsidR="00662F1D" w:rsidRDefault="00214702">
            <w:pPr>
              <w:pStyle w:val="Compact"/>
            </w:pPr>
            <w:r>
              <w:rPr>
                <w:b/>
                <w:bCs/>
              </w:rPr>
              <w:t>Sex = Female, n (%^*)</w:t>
            </w:r>
          </w:p>
        </w:tc>
        <w:tc>
          <w:tcPr>
            <w:tcW w:w="0" w:type="auto"/>
          </w:tcPr>
          <w:p w:rsidR="00662F1D" w:rsidRDefault="00214702">
            <w:pPr>
              <w:pStyle w:val="Compact"/>
              <w:jc w:val="right"/>
            </w:pPr>
            <w:r>
              <w:t>168 (60%)</w:t>
            </w:r>
          </w:p>
        </w:tc>
        <w:tc>
          <w:tcPr>
            <w:tcW w:w="0" w:type="auto"/>
          </w:tcPr>
          <w:p w:rsidR="00662F1D" w:rsidRDefault="00214702">
            <w:pPr>
              <w:pStyle w:val="Compact"/>
              <w:jc w:val="right"/>
            </w:pPr>
            <w:r>
              <w:t>100 (59%)</w:t>
            </w:r>
          </w:p>
        </w:tc>
        <w:tc>
          <w:tcPr>
            <w:tcW w:w="0" w:type="auto"/>
          </w:tcPr>
          <w:p w:rsidR="00662F1D" w:rsidRDefault="00214702">
            <w:pPr>
              <w:pStyle w:val="Compact"/>
              <w:jc w:val="right"/>
            </w:pPr>
            <w:r>
              <w:t>68 (61%)</w:t>
            </w:r>
          </w:p>
        </w:tc>
        <w:tc>
          <w:tcPr>
            <w:tcW w:w="0" w:type="auto"/>
          </w:tcPr>
          <w:p w:rsidR="00662F1D" w:rsidRDefault="00214702">
            <w:pPr>
              <w:pStyle w:val="Compact"/>
            </w:pPr>
            <w:r>
              <w:t>χ²(1)=0.09, p=.765</w:t>
            </w:r>
          </w:p>
        </w:tc>
      </w:tr>
      <w:tr w:rsidR="00662F1D">
        <w:tc>
          <w:tcPr>
            <w:tcW w:w="0" w:type="auto"/>
          </w:tcPr>
          <w:p w:rsidR="00662F1D" w:rsidRDefault="00214702">
            <w:pPr>
              <w:pStyle w:val="Compact"/>
            </w:pPr>
            <w:r>
              <w:rPr>
                <w:b/>
                <w:bCs/>
              </w:rPr>
              <w:t>Education (highest), n (%^*)</w:t>
            </w:r>
          </w:p>
        </w:tc>
        <w:tc>
          <w:tcPr>
            <w:tcW w:w="0" w:type="auto"/>
          </w:tcPr>
          <w:p w:rsidR="00662F1D" w:rsidRDefault="00662F1D">
            <w:pPr>
              <w:pStyle w:val="Compact"/>
            </w:pPr>
          </w:p>
        </w:tc>
        <w:tc>
          <w:tcPr>
            <w:tcW w:w="0" w:type="auto"/>
          </w:tcPr>
          <w:p w:rsidR="00662F1D" w:rsidRDefault="00662F1D">
            <w:pPr>
              <w:pStyle w:val="Compact"/>
            </w:pPr>
          </w:p>
        </w:tc>
        <w:tc>
          <w:tcPr>
            <w:tcW w:w="0" w:type="auto"/>
          </w:tcPr>
          <w:p w:rsidR="00662F1D" w:rsidRDefault="00662F1D">
            <w:pPr>
              <w:pStyle w:val="Compact"/>
            </w:pPr>
          </w:p>
        </w:tc>
        <w:tc>
          <w:tcPr>
            <w:tcW w:w="0" w:type="auto"/>
          </w:tcPr>
          <w:p w:rsidR="00662F1D" w:rsidRDefault="00214702">
            <w:pPr>
              <w:pStyle w:val="Compact"/>
            </w:pPr>
            <w:r>
              <w:t>χ²(3)=7.50, p=.057</w:t>
            </w:r>
          </w:p>
        </w:tc>
      </w:tr>
      <w:tr w:rsidR="00662F1D">
        <w:tc>
          <w:tcPr>
            <w:tcW w:w="0" w:type="auto"/>
          </w:tcPr>
          <w:p w:rsidR="00662F1D" w:rsidRDefault="00214702">
            <w:pPr>
              <w:pStyle w:val="Compact"/>
            </w:pPr>
            <w:r>
              <w:t>• None</w:t>
            </w:r>
          </w:p>
        </w:tc>
        <w:tc>
          <w:tcPr>
            <w:tcW w:w="0" w:type="auto"/>
          </w:tcPr>
          <w:p w:rsidR="00662F1D" w:rsidRDefault="00214702">
            <w:pPr>
              <w:pStyle w:val="Compact"/>
              <w:jc w:val="right"/>
            </w:pPr>
            <w:r>
              <w:t>47 (17%)</w:t>
            </w:r>
          </w:p>
        </w:tc>
        <w:tc>
          <w:tcPr>
            <w:tcW w:w="0" w:type="auto"/>
          </w:tcPr>
          <w:p w:rsidR="00662F1D" w:rsidRDefault="00214702">
            <w:pPr>
              <w:pStyle w:val="Compact"/>
              <w:jc w:val="right"/>
            </w:pPr>
            <w:r>
              <w:t>24 (14%)</w:t>
            </w:r>
          </w:p>
        </w:tc>
        <w:tc>
          <w:tcPr>
            <w:tcW w:w="0" w:type="auto"/>
          </w:tcPr>
          <w:p w:rsidR="00662F1D" w:rsidRDefault="00214702">
            <w:pPr>
              <w:pStyle w:val="Compact"/>
              <w:jc w:val="right"/>
            </w:pPr>
            <w:r>
              <w:t>23 (21%)</w:t>
            </w:r>
          </w:p>
        </w:tc>
        <w:tc>
          <w:tcPr>
            <w:tcW w:w="0" w:type="auto"/>
          </w:tcPr>
          <w:p w:rsidR="00662F1D" w:rsidRDefault="00662F1D">
            <w:pPr>
              <w:pStyle w:val="Compact"/>
            </w:pPr>
          </w:p>
        </w:tc>
      </w:tr>
      <w:tr w:rsidR="00662F1D">
        <w:tc>
          <w:tcPr>
            <w:tcW w:w="0" w:type="auto"/>
          </w:tcPr>
          <w:p w:rsidR="00662F1D" w:rsidRDefault="00214702">
            <w:pPr>
              <w:pStyle w:val="Compact"/>
            </w:pPr>
            <w:r>
              <w:t>• Primary</w:t>
            </w:r>
          </w:p>
        </w:tc>
        <w:tc>
          <w:tcPr>
            <w:tcW w:w="0" w:type="auto"/>
          </w:tcPr>
          <w:p w:rsidR="00662F1D" w:rsidRDefault="00214702">
            <w:pPr>
              <w:pStyle w:val="Compact"/>
              <w:jc w:val="right"/>
            </w:pPr>
            <w:r>
              <w:t>62 (22%)</w:t>
            </w:r>
          </w:p>
        </w:tc>
        <w:tc>
          <w:tcPr>
            <w:tcW w:w="0" w:type="auto"/>
          </w:tcPr>
          <w:p w:rsidR="00662F1D" w:rsidRDefault="00214702">
            <w:pPr>
              <w:pStyle w:val="Compact"/>
              <w:jc w:val="right"/>
            </w:pPr>
            <w:r>
              <w:t>36 (21%)</w:t>
            </w:r>
          </w:p>
        </w:tc>
        <w:tc>
          <w:tcPr>
            <w:tcW w:w="0" w:type="auto"/>
          </w:tcPr>
          <w:p w:rsidR="00662F1D" w:rsidRDefault="00214702">
            <w:pPr>
              <w:pStyle w:val="Compact"/>
              <w:jc w:val="right"/>
            </w:pPr>
            <w:r>
              <w:t>26 (23%)</w:t>
            </w:r>
          </w:p>
        </w:tc>
        <w:tc>
          <w:tcPr>
            <w:tcW w:w="0" w:type="auto"/>
          </w:tcPr>
          <w:p w:rsidR="00662F1D" w:rsidRDefault="00662F1D">
            <w:pPr>
              <w:pStyle w:val="Compact"/>
            </w:pPr>
          </w:p>
        </w:tc>
      </w:tr>
      <w:tr w:rsidR="00662F1D">
        <w:tc>
          <w:tcPr>
            <w:tcW w:w="0" w:type="auto"/>
          </w:tcPr>
          <w:p w:rsidR="00662F1D" w:rsidRDefault="00214702">
            <w:pPr>
              <w:pStyle w:val="Compact"/>
            </w:pPr>
            <w:r>
              <w:t>• Secondary</w:t>
            </w:r>
          </w:p>
        </w:tc>
        <w:tc>
          <w:tcPr>
            <w:tcW w:w="0" w:type="auto"/>
          </w:tcPr>
          <w:p w:rsidR="00662F1D" w:rsidRDefault="00214702">
            <w:pPr>
              <w:pStyle w:val="Compact"/>
              <w:jc w:val="right"/>
            </w:pPr>
            <w:r>
              <w:t xml:space="preserve">122 </w:t>
            </w:r>
            <w:r>
              <w:lastRenderedPageBreak/>
              <w:t>(44%)</w:t>
            </w:r>
          </w:p>
        </w:tc>
        <w:tc>
          <w:tcPr>
            <w:tcW w:w="0" w:type="auto"/>
          </w:tcPr>
          <w:p w:rsidR="00662F1D" w:rsidRDefault="00214702">
            <w:pPr>
              <w:pStyle w:val="Compact"/>
              <w:jc w:val="right"/>
            </w:pPr>
            <w:r>
              <w:lastRenderedPageBreak/>
              <w:t>76 (45%)</w:t>
            </w:r>
          </w:p>
        </w:tc>
        <w:tc>
          <w:tcPr>
            <w:tcW w:w="0" w:type="auto"/>
          </w:tcPr>
          <w:p w:rsidR="00662F1D" w:rsidRDefault="00214702">
            <w:pPr>
              <w:pStyle w:val="Compact"/>
              <w:jc w:val="right"/>
            </w:pPr>
            <w:r>
              <w:t>46 (41%)</w:t>
            </w:r>
          </w:p>
        </w:tc>
        <w:tc>
          <w:tcPr>
            <w:tcW w:w="0" w:type="auto"/>
          </w:tcPr>
          <w:p w:rsidR="00662F1D" w:rsidRDefault="00662F1D">
            <w:pPr>
              <w:pStyle w:val="Compact"/>
            </w:pPr>
          </w:p>
        </w:tc>
      </w:tr>
      <w:tr w:rsidR="00662F1D">
        <w:tc>
          <w:tcPr>
            <w:tcW w:w="0" w:type="auto"/>
          </w:tcPr>
          <w:p w:rsidR="00662F1D" w:rsidRDefault="00214702">
            <w:pPr>
              <w:pStyle w:val="Compact"/>
            </w:pPr>
            <w:r>
              <w:lastRenderedPageBreak/>
              <w:t>• Tertiary</w:t>
            </w:r>
          </w:p>
        </w:tc>
        <w:tc>
          <w:tcPr>
            <w:tcW w:w="0" w:type="auto"/>
          </w:tcPr>
          <w:p w:rsidR="00662F1D" w:rsidRDefault="00214702">
            <w:pPr>
              <w:pStyle w:val="Compact"/>
              <w:jc w:val="right"/>
            </w:pPr>
            <w:r>
              <w:t>49 (18%)</w:t>
            </w:r>
          </w:p>
        </w:tc>
        <w:tc>
          <w:tcPr>
            <w:tcW w:w="0" w:type="auto"/>
          </w:tcPr>
          <w:p w:rsidR="00662F1D" w:rsidRDefault="00214702">
            <w:pPr>
              <w:pStyle w:val="Compact"/>
              <w:jc w:val="right"/>
            </w:pPr>
            <w:r>
              <w:t>33 (20%)</w:t>
            </w:r>
          </w:p>
        </w:tc>
        <w:tc>
          <w:tcPr>
            <w:tcW w:w="0" w:type="auto"/>
          </w:tcPr>
          <w:p w:rsidR="00662F1D" w:rsidRDefault="00214702">
            <w:pPr>
              <w:pStyle w:val="Compact"/>
              <w:jc w:val="right"/>
            </w:pPr>
            <w:r>
              <w:t>16 (14%)</w:t>
            </w:r>
          </w:p>
        </w:tc>
        <w:tc>
          <w:tcPr>
            <w:tcW w:w="0" w:type="auto"/>
          </w:tcPr>
          <w:p w:rsidR="00662F1D" w:rsidRDefault="00662F1D">
            <w:pPr>
              <w:pStyle w:val="Compact"/>
            </w:pPr>
          </w:p>
        </w:tc>
      </w:tr>
      <w:tr w:rsidR="00662F1D">
        <w:tc>
          <w:tcPr>
            <w:tcW w:w="0" w:type="auto"/>
          </w:tcPr>
          <w:p w:rsidR="00662F1D" w:rsidRDefault="00214702">
            <w:pPr>
              <w:pStyle w:val="Compact"/>
            </w:pPr>
            <w:r>
              <w:rPr>
                <w:b/>
                <w:bCs/>
              </w:rPr>
              <w:t>Local Govt. Area, n (%^*)</w:t>
            </w:r>
          </w:p>
        </w:tc>
        <w:tc>
          <w:tcPr>
            <w:tcW w:w="0" w:type="auto"/>
          </w:tcPr>
          <w:p w:rsidR="00662F1D" w:rsidRDefault="00662F1D">
            <w:pPr>
              <w:pStyle w:val="Compact"/>
            </w:pPr>
          </w:p>
        </w:tc>
        <w:tc>
          <w:tcPr>
            <w:tcW w:w="0" w:type="auto"/>
          </w:tcPr>
          <w:p w:rsidR="00662F1D" w:rsidRDefault="00662F1D">
            <w:pPr>
              <w:pStyle w:val="Compact"/>
            </w:pPr>
          </w:p>
        </w:tc>
        <w:tc>
          <w:tcPr>
            <w:tcW w:w="0" w:type="auto"/>
          </w:tcPr>
          <w:p w:rsidR="00662F1D" w:rsidRDefault="00662F1D">
            <w:pPr>
              <w:pStyle w:val="Compact"/>
            </w:pPr>
          </w:p>
        </w:tc>
        <w:tc>
          <w:tcPr>
            <w:tcW w:w="0" w:type="auto"/>
          </w:tcPr>
          <w:p w:rsidR="00662F1D" w:rsidRDefault="00214702">
            <w:pPr>
              <w:pStyle w:val="Compact"/>
            </w:pPr>
            <w:r>
              <w:t>χ²(2)=1.22, p=.543</w:t>
            </w:r>
          </w:p>
        </w:tc>
      </w:tr>
      <w:tr w:rsidR="00662F1D">
        <w:tc>
          <w:tcPr>
            <w:tcW w:w="0" w:type="auto"/>
          </w:tcPr>
          <w:p w:rsidR="00662F1D" w:rsidRDefault="00214702">
            <w:pPr>
              <w:pStyle w:val="Compact"/>
            </w:pPr>
            <w:r>
              <w:t>• Ilorin East</w:t>
            </w:r>
          </w:p>
        </w:tc>
        <w:tc>
          <w:tcPr>
            <w:tcW w:w="0" w:type="auto"/>
          </w:tcPr>
          <w:p w:rsidR="00662F1D" w:rsidRDefault="00214702">
            <w:pPr>
              <w:pStyle w:val="Compact"/>
              <w:jc w:val="right"/>
            </w:pPr>
            <w:r>
              <w:t>93 (33%)</w:t>
            </w:r>
          </w:p>
        </w:tc>
        <w:tc>
          <w:tcPr>
            <w:tcW w:w="0" w:type="auto"/>
          </w:tcPr>
          <w:p w:rsidR="00662F1D" w:rsidRDefault="00214702">
            <w:pPr>
              <w:pStyle w:val="Compact"/>
              <w:jc w:val="right"/>
            </w:pPr>
            <w:r>
              <w:t>54 (32%)</w:t>
            </w:r>
          </w:p>
        </w:tc>
        <w:tc>
          <w:tcPr>
            <w:tcW w:w="0" w:type="auto"/>
          </w:tcPr>
          <w:p w:rsidR="00662F1D" w:rsidRDefault="00214702">
            <w:pPr>
              <w:pStyle w:val="Compact"/>
              <w:jc w:val="right"/>
            </w:pPr>
            <w:r>
              <w:t>39 (35%)</w:t>
            </w:r>
          </w:p>
        </w:tc>
        <w:tc>
          <w:tcPr>
            <w:tcW w:w="0" w:type="auto"/>
          </w:tcPr>
          <w:p w:rsidR="00662F1D" w:rsidRDefault="00662F1D">
            <w:pPr>
              <w:pStyle w:val="Compact"/>
            </w:pPr>
          </w:p>
        </w:tc>
      </w:tr>
      <w:tr w:rsidR="00662F1D">
        <w:tc>
          <w:tcPr>
            <w:tcW w:w="0" w:type="auto"/>
          </w:tcPr>
          <w:p w:rsidR="00662F1D" w:rsidRDefault="00214702">
            <w:pPr>
              <w:pStyle w:val="Compact"/>
            </w:pPr>
            <w:r>
              <w:t>• Ilorin West</w:t>
            </w:r>
          </w:p>
        </w:tc>
        <w:tc>
          <w:tcPr>
            <w:tcW w:w="0" w:type="auto"/>
          </w:tcPr>
          <w:p w:rsidR="00662F1D" w:rsidRDefault="00214702">
            <w:pPr>
              <w:pStyle w:val="Compact"/>
              <w:jc w:val="right"/>
            </w:pPr>
            <w:r>
              <w:t>93 (33%)</w:t>
            </w:r>
          </w:p>
        </w:tc>
        <w:tc>
          <w:tcPr>
            <w:tcW w:w="0" w:type="auto"/>
          </w:tcPr>
          <w:p w:rsidR="00662F1D" w:rsidRDefault="00214702">
            <w:pPr>
              <w:pStyle w:val="Compact"/>
              <w:jc w:val="right"/>
            </w:pPr>
            <w:r>
              <w:t>59 (35%)</w:t>
            </w:r>
          </w:p>
        </w:tc>
        <w:tc>
          <w:tcPr>
            <w:tcW w:w="0" w:type="auto"/>
          </w:tcPr>
          <w:p w:rsidR="00662F1D" w:rsidRDefault="00214702">
            <w:pPr>
              <w:pStyle w:val="Compact"/>
              <w:jc w:val="right"/>
            </w:pPr>
            <w:r>
              <w:t>34 (31%)</w:t>
            </w:r>
          </w:p>
        </w:tc>
        <w:tc>
          <w:tcPr>
            <w:tcW w:w="0" w:type="auto"/>
          </w:tcPr>
          <w:p w:rsidR="00662F1D" w:rsidRDefault="00662F1D">
            <w:pPr>
              <w:pStyle w:val="Compact"/>
            </w:pPr>
          </w:p>
        </w:tc>
      </w:tr>
      <w:tr w:rsidR="00662F1D">
        <w:tc>
          <w:tcPr>
            <w:tcW w:w="0" w:type="auto"/>
          </w:tcPr>
          <w:p w:rsidR="00662F1D" w:rsidRDefault="00214702">
            <w:pPr>
              <w:pStyle w:val="Compact"/>
            </w:pPr>
            <w:r>
              <w:t>• Ilorin South</w:t>
            </w:r>
          </w:p>
        </w:tc>
        <w:tc>
          <w:tcPr>
            <w:tcW w:w="0" w:type="auto"/>
          </w:tcPr>
          <w:p w:rsidR="00662F1D" w:rsidRDefault="00214702">
            <w:pPr>
              <w:pStyle w:val="Compact"/>
              <w:jc w:val="right"/>
            </w:pPr>
            <w:r>
              <w:t>94 (34%)</w:t>
            </w:r>
          </w:p>
        </w:tc>
        <w:tc>
          <w:tcPr>
            <w:tcW w:w="0" w:type="auto"/>
          </w:tcPr>
          <w:p w:rsidR="00662F1D" w:rsidRDefault="00214702">
            <w:pPr>
              <w:pStyle w:val="Compact"/>
              <w:jc w:val="right"/>
            </w:pPr>
            <w:r>
              <w:t>56 (33%)</w:t>
            </w:r>
          </w:p>
        </w:tc>
        <w:tc>
          <w:tcPr>
            <w:tcW w:w="0" w:type="auto"/>
          </w:tcPr>
          <w:p w:rsidR="00662F1D" w:rsidRDefault="00214702">
            <w:pPr>
              <w:pStyle w:val="Compact"/>
              <w:jc w:val="right"/>
            </w:pPr>
            <w:r>
              <w:t>38 (34%)</w:t>
            </w:r>
          </w:p>
        </w:tc>
        <w:tc>
          <w:tcPr>
            <w:tcW w:w="0" w:type="auto"/>
          </w:tcPr>
          <w:p w:rsidR="00662F1D" w:rsidRDefault="00662F1D">
            <w:pPr>
              <w:pStyle w:val="Compact"/>
            </w:pPr>
          </w:p>
        </w:tc>
      </w:tr>
      <w:tr w:rsidR="00662F1D">
        <w:tc>
          <w:tcPr>
            <w:tcW w:w="0" w:type="auto"/>
          </w:tcPr>
          <w:p w:rsidR="00662F1D" w:rsidRDefault="00214702">
            <w:pPr>
              <w:pStyle w:val="Compact"/>
            </w:pPr>
            <w:r>
              <w:rPr>
                <w:b/>
                <w:bCs/>
              </w:rPr>
              <w:t>GroChain Intensity, mean (SD)</w:t>
            </w:r>
          </w:p>
        </w:tc>
        <w:tc>
          <w:tcPr>
            <w:tcW w:w="0" w:type="auto"/>
          </w:tcPr>
          <w:p w:rsidR="00662F1D" w:rsidRDefault="00214702">
            <w:pPr>
              <w:pStyle w:val="Compact"/>
              <w:jc w:val="right"/>
            </w:pPr>
            <w:r>
              <w:t>4.5 (3.2)</w:t>
            </w:r>
          </w:p>
        </w:tc>
        <w:tc>
          <w:tcPr>
            <w:tcW w:w="0" w:type="auto"/>
          </w:tcPr>
          <w:p w:rsidR="00662F1D" w:rsidRDefault="00214702">
            <w:pPr>
              <w:pStyle w:val="Compact"/>
              <w:jc w:val="right"/>
            </w:pPr>
            <w:r>
              <w:t>6.3 (2.4)</w:t>
            </w:r>
          </w:p>
        </w:tc>
        <w:tc>
          <w:tcPr>
            <w:tcW w:w="0" w:type="auto"/>
          </w:tcPr>
          <w:p w:rsidR="00662F1D" w:rsidRDefault="00214702">
            <w:pPr>
              <w:pStyle w:val="Compact"/>
              <w:jc w:val="right"/>
            </w:pPr>
            <w:r>
              <w:t>0.0 (0.0)</w:t>
            </w:r>
          </w:p>
        </w:tc>
        <w:tc>
          <w:tcPr>
            <w:tcW w:w="0" w:type="auto"/>
          </w:tcPr>
          <w:p w:rsidR="00662F1D" w:rsidRDefault="00214702">
            <w:pPr>
              <w:pStyle w:val="Compact"/>
            </w:pPr>
            <w:r>
              <w:t>–</w:t>
            </w:r>
          </w:p>
        </w:tc>
      </w:tr>
      <w:tr w:rsidR="00662F1D">
        <w:tc>
          <w:tcPr>
            <w:tcW w:w="0" w:type="auto"/>
          </w:tcPr>
          <w:p w:rsidR="00662F1D" w:rsidRDefault="00214702">
            <w:pPr>
              <w:pStyle w:val="Compact"/>
            </w:pPr>
            <w:r>
              <w:rPr>
                <w:b/>
                <w:bCs/>
              </w:rPr>
              <w:t>Household income (tertile), n (%^*)</w:t>
            </w:r>
          </w:p>
        </w:tc>
        <w:tc>
          <w:tcPr>
            <w:tcW w:w="0" w:type="auto"/>
          </w:tcPr>
          <w:p w:rsidR="00662F1D" w:rsidRDefault="00662F1D">
            <w:pPr>
              <w:pStyle w:val="Compact"/>
            </w:pPr>
          </w:p>
        </w:tc>
        <w:tc>
          <w:tcPr>
            <w:tcW w:w="0" w:type="auto"/>
          </w:tcPr>
          <w:p w:rsidR="00662F1D" w:rsidRDefault="00662F1D">
            <w:pPr>
              <w:pStyle w:val="Compact"/>
            </w:pPr>
          </w:p>
        </w:tc>
        <w:tc>
          <w:tcPr>
            <w:tcW w:w="0" w:type="auto"/>
          </w:tcPr>
          <w:p w:rsidR="00662F1D" w:rsidRDefault="00662F1D">
            <w:pPr>
              <w:pStyle w:val="Compact"/>
            </w:pPr>
          </w:p>
        </w:tc>
        <w:tc>
          <w:tcPr>
            <w:tcW w:w="0" w:type="auto"/>
          </w:tcPr>
          <w:p w:rsidR="00662F1D" w:rsidRDefault="00214702">
            <w:pPr>
              <w:pStyle w:val="Compact"/>
            </w:pPr>
            <w:r>
              <w:t>χ²(2)=12.8, p=.002</w:t>
            </w:r>
          </w:p>
        </w:tc>
      </w:tr>
      <w:tr w:rsidR="00662F1D">
        <w:tc>
          <w:tcPr>
            <w:tcW w:w="0" w:type="auto"/>
          </w:tcPr>
          <w:p w:rsidR="00662F1D" w:rsidRDefault="00214702">
            <w:pPr>
              <w:pStyle w:val="Compact"/>
            </w:pPr>
            <w:r>
              <w:t>• Low (1)</w:t>
            </w:r>
          </w:p>
        </w:tc>
        <w:tc>
          <w:tcPr>
            <w:tcW w:w="0" w:type="auto"/>
          </w:tcPr>
          <w:p w:rsidR="00662F1D" w:rsidRDefault="00214702">
            <w:pPr>
              <w:pStyle w:val="Compact"/>
              <w:jc w:val="right"/>
            </w:pPr>
            <w:r>
              <w:t>110 (39%)</w:t>
            </w:r>
          </w:p>
        </w:tc>
        <w:tc>
          <w:tcPr>
            <w:tcW w:w="0" w:type="auto"/>
          </w:tcPr>
          <w:p w:rsidR="00662F1D" w:rsidRDefault="00214702">
            <w:pPr>
              <w:pStyle w:val="Compact"/>
              <w:jc w:val="right"/>
            </w:pPr>
            <w:r>
              <w:t>60 (36%)</w:t>
            </w:r>
          </w:p>
        </w:tc>
        <w:tc>
          <w:tcPr>
            <w:tcW w:w="0" w:type="auto"/>
          </w:tcPr>
          <w:p w:rsidR="00662F1D" w:rsidRDefault="00214702">
            <w:pPr>
              <w:pStyle w:val="Compact"/>
              <w:jc w:val="right"/>
            </w:pPr>
            <w:r>
              <w:t>50 (45%)</w:t>
            </w:r>
          </w:p>
        </w:tc>
        <w:tc>
          <w:tcPr>
            <w:tcW w:w="0" w:type="auto"/>
          </w:tcPr>
          <w:p w:rsidR="00662F1D" w:rsidRDefault="00662F1D">
            <w:pPr>
              <w:pStyle w:val="Compact"/>
            </w:pPr>
          </w:p>
        </w:tc>
      </w:tr>
      <w:tr w:rsidR="00662F1D">
        <w:tc>
          <w:tcPr>
            <w:tcW w:w="0" w:type="auto"/>
          </w:tcPr>
          <w:p w:rsidR="00662F1D" w:rsidRDefault="00214702">
            <w:pPr>
              <w:pStyle w:val="Compact"/>
            </w:pPr>
            <w:r>
              <w:t>• Medium (2)</w:t>
            </w:r>
          </w:p>
        </w:tc>
        <w:tc>
          <w:tcPr>
            <w:tcW w:w="0" w:type="auto"/>
          </w:tcPr>
          <w:p w:rsidR="00662F1D" w:rsidRDefault="00214702">
            <w:pPr>
              <w:pStyle w:val="Compact"/>
              <w:jc w:val="right"/>
            </w:pPr>
            <w:r>
              <w:t>104 (37%)</w:t>
            </w:r>
          </w:p>
        </w:tc>
        <w:tc>
          <w:tcPr>
            <w:tcW w:w="0" w:type="auto"/>
          </w:tcPr>
          <w:p w:rsidR="00662F1D" w:rsidRDefault="00214702">
            <w:pPr>
              <w:pStyle w:val="Compact"/>
              <w:jc w:val="right"/>
            </w:pPr>
            <w:r>
              <w:t>69 (41%)</w:t>
            </w:r>
          </w:p>
        </w:tc>
        <w:tc>
          <w:tcPr>
            <w:tcW w:w="0" w:type="auto"/>
          </w:tcPr>
          <w:p w:rsidR="00662F1D" w:rsidRDefault="00214702">
            <w:pPr>
              <w:pStyle w:val="Compact"/>
              <w:jc w:val="right"/>
            </w:pPr>
            <w:r>
              <w:t>35 (32%)</w:t>
            </w:r>
          </w:p>
        </w:tc>
        <w:tc>
          <w:tcPr>
            <w:tcW w:w="0" w:type="auto"/>
          </w:tcPr>
          <w:p w:rsidR="00662F1D" w:rsidRDefault="00662F1D">
            <w:pPr>
              <w:pStyle w:val="Compact"/>
            </w:pPr>
          </w:p>
        </w:tc>
      </w:tr>
      <w:tr w:rsidR="00662F1D">
        <w:tc>
          <w:tcPr>
            <w:tcW w:w="0" w:type="auto"/>
          </w:tcPr>
          <w:p w:rsidR="00662F1D" w:rsidRDefault="00214702">
            <w:pPr>
              <w:pStyle w:val="Compact"/>
            </w:pPr>
            <w:r>
              <w:t>• High (3)</w:t>
            </w:r>
          </w:p>
        </w:tc>
        <w:tc>
          <w:tcPr>
            <w:tcW w:w="0" w:type="auto"/>
          </w:tcPr>
          <w:p w:rsidR="00662F1D" w:rsidRDefault="00214702">
            <w:pPr>
              <w:pStyle w:val="Compact"/>
              <w:jc w:val="right"/>
            </w:pPr>
            <w:r>
              <w:t>66 (24%)</w:t>
            </w:r>
          </w:p>
        </w:tc>
        <w:tc>
          <w:tcPr>
            <w:tcW w:w="0" w:type="auto"/>
          </w:tcPr>
          <w:p w:rsidR="00662F1D" w:rsidRDefault="00214702">
            <w:pPr>
              <w:pStyle w:val="Compact"/>
              <w:jc w:val="right"/>
            </w:pPr>
            <w:r>
              <w:t>40 (24%)</w:t>
            </w:r>
          </w:p>
        </w:tc>
        <w:tc>
          <w:tcPr>
            <w:tcW w:w="0" w:type="auto"/>
          </w:tcPr>
          <w:p w:rsidR="00662F1D" w:rsidRDefault="00214702">
            <w:pPr>
              <w:pStyle w:val="Compact"/>
              <w:jc w:val="right"/>
            </w:pPr>
            <w:r>
              <w:t>26 (23%)</w:t>
            </w:r>
          </w:p>
        </w:tc>
        <w:tc>
          <w:tcPr>
            <w:tcW w:w="0" w:type="auto"/>
          </w:tcPr>
          <w:p w:rsidR="00662F1D" w:rsidRDefault="00662F1D">
            <w:pPr>
              <w:pStyle w:val="Compact"/>
            </w:pPr>
          </w:p>
        </w:tc>
      </w:tr>
      <w:tr w:rsidR="00662F1D">
        <w:tc>
          <w:tcPr>
            <w:tcW w:w="0" w:type="auto"/>
          </w:tcPr>
          <w:p w:rsidR="00662F1D" w:rsidRDefault="00214702">
            <w:pPr>
              <w:pStyle w:val="Compact"/>
            </w:pPr>
            <w:r>
              <w:rPr>
                <w:b/>
                <w:bCs/>
              </w:rPr>
              <w:t>HFIAS score, mean (SD)</w:t>
            </w:r>
          </w:p>
        </w:tc>
        <w:tc>
          <w:tcPr>
            <w:tcW w:w="0" w:type="auto"/>
          </w:tcPr>
          <w:p w:rsidR="00662F1D" w:rsidRDefault="00214702">
            <w:pPr>
              <w:pStyle w:val="Compact"/>
              <w:jc w:val="right"/>
            </w:pPr>
            <w:r>
              <w:t>7.8 (4.6)</w:t>
            </w:r>
          </w:p>
        </w:tc>
        <w:tc>
          <w:tcPr>
            <w:tcW w:w="0" w:type="auto"/>
          </w:tcPr>
          <w:p w:rsidR="00662F1D" w:rsidRDefault="00214702">
            <w:pPr>
              <w:pStyle w:val="Compact"/>
              <w:jc w:val="right"/>
            </w:pPr>
            <w:r>
              <w:t>5.0 (3.5)</w:t>
            </w:r>
          </w:p>
        </w:tc>
        <w:tc>
          <w:tcPr>
            <w:tcW w:w="0" w:type="auto"/>
          </w:tcPr>
          <w:p w:rsidR="00662F1D" w:rsidRDefault="00214702">
            <w:pPr>
              <w:pStyle w:val="Compact"/>
              <w:jc w:val="right"/>
            </w:pPr>
            <w:r>
              <w:t>11.2 (4.5)</w:t>
            </w:r>
          </w:p>
        </w:tc>
        <w:tc>
          <w:tcPr>
            <w:tcW w:w="0" w:type="auto"/>
          </w:tcPr>
          <w:p w:rsidR="00662F1D" w:rsidRDefault="00214702">
            <w:pPr>
              <w:pStyle w:val="Compact"/>
            </w:pPr>
            <w:r>
              <w:t xml:space="preserve">Mann-Whitney U=5116, </w:t>
            </w:r>
            <w:r>
              <w:rPr>
                <w:b/>
                <w:bCs/>
              </w:rPr>
              <w:t>p</w:t>
            </w:r>
            <w:r>
              <w:t>&lt;.001</w:t>
            </w:r>
          </w:p>
        </w:tc>
      </w:tr>
      <w:tr w:rsidR="00662F1D">
        <w:tc>
          <w:tcPr>
            <w:tcW w:w="0" w:type="auto"/>
          </w:tcPr>
          <w:p w:rsidR="00662F1D" w:rsidRDefault="00214702">
            <w:pPr>
              <w:pStyle w:val="Compact"/>
            </w:pPr>
            <w:r>
              <w:rPr>
                <w:b/>
                <w:bCs/>
              </w:rPr>
              <w:t>HFIAS category, n (%^*)</w:t>
            </w:r>
          </w:p>
        </w:tc>
        <w:tc>
          <w:tcPr>
            <w:tcW w:w="0" w:type="auto"/>
          </w:tcPr>
          <w:p w:rsidR="00662F1D" w:rsidRDefault="00662F1D">
            <w:pPr>
              <w:pStyle w:val="Compact"/>
            </w:pPr>
          </w:p>
        </w:tc>
        <w:tc>
          <w:tcPr>
            <w:tcW w:w="0" w:type="auto"/>
          </w:tcPr>
          <w:p w:rsidR="00662F1D" w:rsidRDefault="00662F1D">
            <w:pPr>
              <w:pStyle w:val="Compact"/>
            </w:pPr>
          </w:p>
        </w:tc>
        <w:tc>
          <w:tcPr>
            <w:tcW w:w="0" w:type="auto"/>
          </w:tcPr>
          <w:p w:rsidR="00662F1D" w:rsidRDefault="00662F1D">
            <w:pPr>
              <w:pStyle w:val="Compact"/>
            </w:pPr>
          </w:p>
        </w:tc>
        <w:tc>
          <w:tcPr>
            <w:tcW w:w="0" w:type="auto"/>
          </w:tcPr>
          <w:p w:rsidR="00662F1D" w:rsidRDefault="00214702">
            <w:pPr>
              <w:pStyle w:val="Compact"/>
            </w:pPr>
            <w:r>
              <w:t xml:space="preserve">χ²(3)=33.20, </w:t>
            </w:r>
            <w:r>
              <w:rPr>
                <w:b/>
                <w:bCs/>
              </w:rPr>
              <w:t>p</w:t>
            </w:r>
            <w:r>
              <w:t>&lt;.001</w:t>
            </w:r>
          </w:p>
        </w:tc>
      </w:tr>
      <w:tr w:rsidR="00662F1D">
        <w:tc>
          <w:tcPr>
            <w:tcW w:w="0" w:type="auto"/>
          </w:tcPr>
          <w:p w:rsidR="00662F1D" w:rsidRDefault="00214702">
            <w:pPr>
              <w:pStyle w:val="Compact"/>
            </w:pPr>
            <w:r>
              <w:t>• Food secure (0)</w:t>
            </w:r>
          </w:p>
        </w:tc>
        <w:tc>
          <w:tcPr>
            <w:tcW w:w="0" w:type="auto"/>
          </w:tcPr>
          <w:p w:rsidR="00662F1D" w:rsidRDefault="00214702">
            <w:pPr>
              <w:pStyle w:val="Compact"/>
              <w:jc w:val="right"/>
            </w:pPr>
            <w:r>
              <w:t>13 (4.6%)</w:t>
            </w:r>
          </w:p>
        </w:tc>
        <w:tc>
          <w:tcPr>
            <w:tcW w:w="0" w:type="auto"/>
          </w:tcPr>
          <w:p w:rsidR="00662F1D" w:rsidRDefault="00214702">
            <w:pPr>
              <w:pStyle w:val="Compact"/>
              <w:jc w:val="right"/>
            </w:pPr>
            <w:r>
              <w:t>12 (7.1%)</w:t>
            </w:r>
          </w:p>
        </w:tc>
        <w:tc>
          <w:tcPr>
            <w:tcW w:w="0" w:type="auto"/>
          </w:tcPr>
          <w:p w:rsidR="00662F1D" w:rsidRDefault="00214702">
            <w:pPr>
              <w:pStyle w:val="Compact"/>
              <w:jc w:val="right"/>
            </w:pPr>
            <w:r>
              <w:t>1 (0.9%)</w:t>
            </w:r>
          </w:p>
        </w:tc>
        <w:tc>
          <w:tcPr>
            <w:tcW w:w="0" w:type="auto"/>
          </w:tcPr>
          <w:p w:rsidR="00662F1D" w:rsidRDefault="00662F1D">
            <w:pPr>
              <w:pStyle w:val="Compact"/>
            </w:pPr>
          </w:p>
        </w:tc>
      </w:tr>
      <w:tr w:rsidR="00662F1D">
        <w:tc>
          <w:tcPr>
            <w:tcW w:w="0" w:type="auto"/>
          </w:tcPr>
          <w:p w:rsidR="00662F1D" w:rsidRDefault="00214702">
            <w:pPr>
              <w:pStyle w:val="Compact"/>
            </w:pPr>
            <w:r>
              <w:t>• Mild FI (1)</w:t>
            </w:r>
          </w:p>
        </w:tc>
        <w:tc>
          <w:tcPr>
            <w:tcW w:w="0" w:type="auto"/>
          </w:tcPr>
          <w:p w:rsidR="00662F1D" w:rsidRDefault="00214702">
            <w:pPr>
              <w:pStyle w:val="Compact"/>
              <w:jc w:val="right"/>
            </w:pPr>
            <w:r>
              <w:t>135 (48.2%)</w:t>
            </w:r>
          </w:p>
        </w:tc>
        <w:tc>
          <w:tcPr>
            <w:tcW w:w="0" w:type="auto"/>
          </w:tcPr>
          <w:p w:rsidR="00662F1D" w:rsidRDefault="00214702">
            <w:pPr>
              <w:pStyle w:val="Compact"/>
              <w:jc w:val="right"/>
            </w:pPr>
            <w:r>
              <w:t>94 (55.6%)</w:t>
            </w:r>
          </w:p>
        </w:tc>
        <w:tc>
          <w:tcPr>
            <w:tcW w:w="0" w:type="auto"/>
          </w:tcPr>
          <w:p w:rsidR="00662F1D" w:rsidRDefault="00214702">
            <w:pPr>
              <w:pStyle w:val="Compact"/>
              <w:jc w:val="right"/>
            </w:pPr>
            <w:r>
              <w:t>41 (36.9%)</w:t>
            </w:r>
          </w:p>
        </w:tc>
        <w:tc>
          <w:tcPr>
            <w:tcW w:w="0" w:type="auto"/>
          </w:tcPr>
          <w:p w:rsidR="00662F1D" w:rsidRDefault="00662F1D">
            <w:pPr>
              <w:pStyle w:val="Compact"/>
            </w:pPr>
          </w:p>
        </w:tc>
      </w:tr>
      <w:tr w:rsidR="00662F1D">
        <w:tc>
          <w:tcPr>
            <w:tcW w:w="0" w:type="auto"/>
          </w:tcPr>
          <w:p w:rsidR="00662F1D" w:rsidRDefault="00214702">
            <w:pPr>
              <w:pStyle w:val="Compact"/>
            </w:pPr>
            <w:r>
              <w:t>• Moderate FI (2)</w:t>
            </w:r>
          </w:p>
        </w:tc>
        <w:tc>
          <w:tcPr>
            <w:tcW w:w="0" w:type="auto"/>
          </w:tcPr>
          <w:p w:rsidR="00662F1D" w:rsidRDefault="00214702">
            <w:pPr>
              <w:pStyle w:val="Compact"/>
              <w:jc w:val="right"/>
            </w:pPr>
            <w:r>
              <w:t>109 (38.9%)</w:t>
            </w:r>
          </w:p>
        </w:tc>
        <w:tc>
          <w:tcPr>
            <w:tcW w:w="0" w:type="auto"/>
          </w:tcPr>
          <w:p w:rsidR="00662F1D" w:rsidRDefault="00214702">
            <w:pPr>
              <w:pStyle w:val="Compact"/>
              <w:jc w:val="right"/>
            </w:pPr>
            <w:r>
              <w:t>60 (35.5%)</w:t>
            </w:r>
          </w:p>
        </w:tc>
        <w:tc>
          <w:tcPr>
            <w:tcW w:w="0" w:type="auto"/>
          </w:tcPr>
          <w:p w:rsidR="00662F1D" w:rsidRDefault="00214702">
            <w:pPr>
              <w:pStyle w:val="Compact"/>
              <w:jc w:val="right"/>
            </w:pPr>
            <w:r>
              <w:t>49 (44.1%)</w:t>
            </w:r>
          </w:p>
        </w:tc>
        <w:tc>
          <w:tcPr>
            <w:tcW w:w="0" w:type="auto"/>
          </w:tcPr>
          <w:p w:rsidR="00662F1D" w:rsidRDefault="00662F1D">
            <w:pPr>
              <w:pStyle w:val="Compact"/>
            </w:pPr>
          </w:p>
        </w:tc>
      </w:tr>
      <w:tr w:rsidR="00662F1D">
        <w:tc>
          <w:tcPr>
            <w:tcW w:w="0" w:type="auto"/>
          </w:tcPr>
          <w:p w:rsidR="00662F1D" w:rsidRDefault="00214702">
            <w:pPr>
              <w:pStyle w:val="Compact"/>
            </w:pPr>
            <w:r>
              <w:t>• Severe FI (3)</w:t>
            </w:r>
          </w:p>
        </w:tc>
        <w:tc>
          <w:tcPr>
            <w:tcW w:w="0" w:type="auto"/>
          </w:tcPr>
          <w:p w:rsidR="00662F1D" w:rsidRDefault="00214702">
            <w:pPr>
              <w:pStyle w:val="Compact"/>
              <w:jc w:val="right"/>
            </w:pPr>
            <w:r>
              <w:t>23 (8.2%)</w:t>
            </w:r>
          </w:p>
        </w:tc>
        <w:tc>
          <w:tcPr>
            <w:tcW w:w="0" w:type="auto"/>
          </w:tcPr>
          <w:p w:rsidR="00662F1D" w:rsidRDefault="00214702">
            <w:pPr>
              <w:pStyle w:val="Compact"/>
              <w:jc w:val="right"/>
            </w:pPr>
            <w:r>
              <w:t>3 (1.8%)</w:t>
            </w:r>
          </w:p>
        </w:tc>
        <w:tc>
          <w:tcPr>
            <w:tcW w:w="0" w:type="auto"/>
          </w:tcPr>
          <w:p w:rsidR="00662F1D" w:rsidRDefault="00214702">
            <w:pPr>
              <w:pStyle w:val="Compact"/>
              <w:jc w:val="right"/>
            </w:pPr>
            <w:r>
              <w:t>20 (18.0%)</w:t>
            </w:r>
          </w:p>
        </w:tc>
        <w:tc>
          <w:tcPr>
            <w:tcW w:w="0" w:type="auto"/>
          </w:tcPr>
          <w:p w:rsidR="00662F1D" w:rsidRDefault="00662F1D">
            <w:pPr>
              <w:pStyle w:val="Compact"/>
            </w:pPr>
          </w:p>
        </w:tc>
      </w:tr>
      <w:tr w:rsidR="00662F1D">
        <w:tc>
          <w:tcPr>
            <w:tcW w:w="0" w:type="auto"/>
          </w:tcPr>
          <w:p w:rsidR="00662F1D" w:rsidRDefault="00214702">
            <w:pPr>
              <w:pStyle w:val="Compact"/>
            </w:pPr>
            <w:r>
              <w:rPr>
                <w:b/>
                <w:bCs/>
              </w:rPr>
              <w:t>MDD-W score (women only), mean (SD)</w:t>
            </w:r>
          </w:p>
        </w:tc>
        <w:tc>
          <w:tcPr>
            <w:tcW w:w="0" w:type="auto"/>
          </w:tcPr>
          <w:p w:rsidR="00662F1D" w:rsidRDefault="00214702">
            <w:pPr>
              <w:pStyle w:val="Compact"/>
              <w:jc w:val="right"/>
            </w:pPr>
            <w:r>
              <w:t>4.6 (1.5)</w:t>
            </w:r>
          </w:p>
        </w:tc>
        <w:tc>
          <w:tcPr>
            <w:tcW w:w="0" w:type="auto"/>
          </w:tcPr>
          <w:p w:rsidR="00662F1D" w:rsidRDefault="00214702">
            <w:pPr>
              <w:pStyle w:val="Compact"/>
              <w:jc w:val="right"/>
            </w:pPr>
            <w:r>
              <w:t>5.2 (1.3)</w:t>
            </w:r>
          </w:p>
        </w:tc>
        <w:tc>
          <w:tcPr>
            <w:tcW w:w="0" w:type="auto"/>
          </w:tcPr>
          <w:p w:rsidR="00662F1D" w:rsidRDefault="00214702">
            <w:pPr>
              <w:pStyle w:val="Compact"/>
              <w:jc w:val="right"/>
            </w:pPr>
            <w:r>
              <w:t>3.7 (1.4)</w:t>
            </w:r>
          </w:p>
        </w:tc>
        <w:tc>
          <w:tcPr>
            <w:tcW w:w="0" w:type="auto"/>
          </w:tcPr>
          <w:p w:rsidR="00662F1D" w:rsidRDefault="00214702">
            <w:pPr>
              <w:pStyle w:val="Compact"/>
            </w:pPr>
            <w:r>
              <w:t xml:space="preserve">t(160)=6.05, </w:t>
            </w:r>
            <w:r>
              <w:rPr>
                <w:b/>
                <w:bCs/>
              </w:rPr>
              <w:t>p</w:t>
            </w:r>
            <w:r>
              <w:t>&lt;.001</w:t>
            </w:r>
          </w:p>
        </w:tc>
      </w:tr>
      <w:tr w:rsidR="00662F1D">
        <w:tc>
          <w:tcPr>
            <w:tcW w:w="0" w:type="auto"/>
          </w:tcPr>
          <w:p w:rsidR="00662F1D" w:rsidRDefault="00214702">
            <w:pPr>
              <w:pStyle w:val="Compact"/>
            </w:pPr>
            <w:r>
              <w:rPr>
                <w:b/>
                <w:bCs/>
              </w:rPr>
              <w:t>MDD-W ≥5 (women), n (%^*)</w:t>
            </w:r>
          </w:p>
        </w:tc>
        <w:tc>
          <w:tcPr>
            <w:tcW w:w="0" w:type="auto"/>
          </w:tcPr>
          <w:p w:rsidR="00662F1D" w:rsidRDefault="00214702">
            <w:pPr>
              <w:pStyle w:val="Compact"/>
              <w:jc w:val="right"/>
            </w:pPr>
            <w:r>
              <w:t>89 (55%)</w:t>
            </w:r>
          </w:p>
        </w:tc>
        <w:tc>
          <w:tcPr>
            <w:tcW w:w="0" w:type="auto"/>
          </w:tcPr>
          <w:p w:rsidR="00662F1D" w:rsidRDefault="00214702">
            <w:pPr>
              <w:pStyle w:val="Compact"/>
              <w:jc w:val="right"/>
            </w:pPr>
            <w:r>
              <w:t>62 (63%)</w:t>
            </w:r>
          </w:p>
        </w:tc>
        <w:tc>
          <w:tcPr>
            <w:tcW w:w="0" w:type="auto"/>
          </w:tcPr>
          <w:p w:rsidR="00662F1D" w:rsidRDefault="00214702">
            <w:pPr>
              <w:pStyle w:val="Compact"/>
              <w:jc w:val="right"/>
            </w:pPr>
            <w:r>
              <w:t>27 (43%)</w:t>
            </w:r>
          </w:p>
        </w:tc>
        <w:tc>
          <w:tcPr>
            <w:tcW w:w="0" w:type="auto"/>
          </w:tcPr>
          <w:p w:rsidR="00662F1D" w:rsidRDefault="00214702">
            <w:pPr>
              <w:pStyle w:val="Compact"/>
            </w:pPr>
            <w:r>
              <w:t xml:space="preserve">χ²(1)=5.31, </w:t>
            </w:r>
            <w:r>
              <w:rPr>
                <w:b/>
                <w:bCs/>
              </w:rPr>
              <w:t>p</w:t>
            </w:r>
            <w:r>
              <w:t>=.021</w:t>
            </w:r>
          </w:p>
        </w:tc>
      </w:tr>
    </w:tbl>
    <w:p w:rsidR="00662F1D" w:rsidRDefault="00214702">
      <w:pPr>
        <w:pStyle w:val="BodyText"/>
      </w:pPr>
      <w:r>
        <w:t>^*Percentages are row percentages within each subgroup (Users vs Non-users).</w:t>
      </w:r>
    </w:p>
    <w:p w:rsidR="00662F1D" w:rsidRDefault="00214702">
      <w:pPr>
        <w:pStyle w:val="Heading2"/>
      </w:pPr>
      <w:bookmarkStart w:id="4" w:name="bivariate-comparisons"/>
      <w:bookmarkEnd w:id="3"/>
      <w:r>
        <w:t>Bivariate Comparisons</w:t>
      </w:r>
    </w:p>
    <w:p w:rsidR="00662F1D" w:rsidRDefault="00214702">
      <w:pPr>
        <w:pStyle w:val="FirstParagraph"/>
      </w:pPr>
      <w:r>
        <w:t xml:space="preserve">GroChain users had significantly better food-security and diet outcomes than non-users. As shown in Table 4.1, the mean HFIAS score was much lower among users (mean 5.0, SD 3.5) than non-users (mean 11.2, SD 4.5). This difference was </w:t>
      </w:r>
      <w:r>
        <w:t xml:space="preserve">highly significant (Mann–Whitney </w:t>
      </w:r>
      <w:r>
        <w:rPr>
          <w:i/>
          <w:iCs/>
        </w:rPr>
        <w:t>U</w:t>
      </w:r>
      <w:r>
        <w:t xml:space="preserve"> = 5116, </w:t>
      </w:r>
      <w:r>
        <w:rPr>
          <w:i/>
          <w:iCs/>
        </w:rPr>
        <w:t>p</w:t>
      </w:r>
      <w:r>
        <w:t xml:space="preserve">&lt;.001). Correspondingly, only 1.8% of user households were in the “severe” food-insecure category versus 18.0% of non-user households </w:t>
      </w:r>
      <w:r>
        <w:lastRenderedPageBreak/>
        <w:t xml:space="preserve">(χ²(3)=33.20, </w:t>
      </w:r>
      <w:r>
        <w:rPr>
          <w:i/>
          <w:iCs/>
        </w:rPr>
        <w:t>p</w:t>
      </w:r>
      <w:r>
        <w:t>&lt;.001). By contrast, over half of GroChain-user households (55.</w:t>
      </w:r>
      <w:r>
        <w:t xml:space="preserve">6%) were in the mild insecurity range, compared to 36.9% of non-user households. There was no significant variation in HFIAS by local-area or by respondent sex (all </w:t>
      </w:r>
      <w:r>
        <w:rPr>
          <w:i/>
          <w:iCs/>
        </w:rPr>
        <w:t>p</w:t>
      </w:r>
      <w:r>
        <w:t>&gt;.05).</w:t>
      </w:r>
    </w:p>
    <w:p w:rsidR="00662F1D" w:rsidRDefault="00214702">
      <w:pPr>
        <w:pStyle w:val="BodyText"/>
      </w:pPr>
      <w:r>
        <w:t>Women’s dietary diversity was also higher in GroChain households. Among female resp</w:t>
      </w:r>
      <w:r>
        <w:t xml:space="preserve">ondents, the mean MDD-W score was 5.2 (SD 1.3) in user households versus 3.7 (SD 1.4) in non-user households (t(160)=6.05, </w:t>
      </w:r>
      <w:r>
        <w:rPr>
          <w:i/>
          <w:iCs/>
        </w:rPr>
        <w:t>p</w:t>
      </w:r>
      <w:r>
        <w:t>&lt;.001). A significantly larger proportion of women in user households achieved the ≥5 food-groups cutoff (63%) than those in non-use</w:t>
      </w:r>
      <w:r>
        <w:t xml:space="preserve">r households (43%), χ²(1)=5.31, </w:t>
      </w:r>
      <w:r>
        <w:rPr>
          <w:i/>
          <w:iCs/>
        </w:rPr>
        <w:t>p</w:t>
      </w:r>
      <w:r>
        <w:t xml:space="preserve">=.021. This corresponds to a prevalence of 62.6% (95% CI 52.0–72.0%) MDD-W achievement among users compared to 42.9% (CI 30.8–55.2%) among non-users. By contrast, differences in water/sanitation index, household size, age, </w:t>
      </w:r>
      <w:r>
        <w:t xml:space="preserve">or education were not statistically significant between groups (all </w:t>
      </w:r>
      <w:r>
        <w:rPr>
          <w:i/>
          <w:iCs/>
        </w:rPr>
        <w:t>p</w:t>
      </w:r>
      <w:r>
        <w:t>&gt;.05).</w:t>
      </w:r>
    </w:p>
    <w:p w:rsidR="00662F1D" w:rsidRDefault="00214702">
      <w:pPr>
        <w:pStyle w:val="Heading2"/>
      </w:pPr>
      <w:bookmarkStart w:id="5" w:name="multivariable-analysis"/>
      <w:bookmarkEnd w:id="4"/>
      <w:r>
        <w:t>Multivariable Analysis</w:t>
      </w:r>
    </w:p>
    <w:p w:rsidR="00662F1D" w:rsidRDefault="00214702">
      <w:pPr>
        <w:pStyle w:val="FirstParagraph"/>
      </w:pPr>
      <w:r>
        <w:t>Multivariable regression models assessed the association of GroChain platform intensity with food security and dietary outcomes, adjusting for covariates. Mo</w:t>
      </w:r>
      <w:r>
        <w:t xml:space="preserve">del 1 (Table 4.2) was a linear regression predicting HFIAS score. GroChain intensity (range 0–12) had a significant negative effect: each one-point increase in the GroChain intensity index was associated with a 0.545-point </w:t>
      </w:r>
      <w:r>
        <w:rPr>
          <w:i/>
          <w:iCs/>
        </w:rPr>
        <w:t>reduction</w:t>
      </w:r>
      <w:r>
        <w:t xml:space="preserve"> in HFIAS (95% CI –0.720</w:t>
      </w:r>
      <w:r>
        <w:t xml:space="preserve">, –0.370; </w:t>
      </w:r>
      <w:r>
        <w:rPr>
          <w:i/>
          <w:iCs/>
        </w:rPr>
        <w:t>p</w:t>
      </w:r>
      <w:r>
        <w:t>&lt;.001). In other words, more active use of the platform corresponded to significantly better household food security. None of the control variables (respondent sex, education level, income tertile, household size, or LGA) were statistically sign</w:t>
      </w:r>
      <w:r>
        <w:t xml:space="preserve">ificant predictors in this model. Higher WASH index showed a non-significant trend toward lower HFIAS (β≈–0.31, </w:t>
      </w:r>
      <w:r>
        <w:rPr>
          <w:i/>
          <w:iCs/>
        </w:rPr>
        <w:t>p</w:t>
      </w:r>
      <w:r>
        <w:t>≈.08). The model explained about 13.5% of the variance in HFIAS (R²≈0.14), reflecting the key role of digital platform use.</w:t>
      </w:r>
    </w:p>
    <w:p w:rsidR="00662F1D" w:rsidRDefault="00214702">
      <w:pPr>
        <w:pStyle w:val="BodyText"/>
      </w:pPr>
      <w:r>
        <w:t>Model 2 (Table 4.3)</w:t>
      </w:r>
      <w:r>
        <w:t xml:space="preserve"> was a logistic regression among female respondents, predicting achievement of minimum dietary diversity (MDD-W). After controlling for covariates, GroChain intensity remained a significant positive predictor: each additional intensity point more than doub</w:t>
      </w:r>
      <w:r>
        <w:t xml:space="preserve">led the odds of achieving MDD-W (adjusted OR ≈ 2.27, 95% CI 1.65–3.13; </w:t>
      </w:r>
      <w:r>
        <w:rPr>
          <w:i/>
          <w:iCs/>
        </w:rPr>
        <w:t>p</w:t>
      </w:r>
      <w:r>
        <w:t>&lt;.001). This indicates that greater platform engagement was associated with markedly higher likelihood of a diverse diet among women. None of the socio-demographic controls (education,</w:t>
      </w:r>
      <w:r>
        <w:t xml:space="preserve"> income, household size, or LGA) were significant in the logistic model.</w:t>
      </w:r>
    </w:p>
    <w:p w:rsidR="00662F1D" w:rsidRDefault="00214702">
      <w:pPr>
        <w:pStyle w:val="BodyText"/>
      </w:pPr>
      <w:r>
        <w:rPr>
          <w:b/>
          <w:bCs/>
        </w:rPr>
        <w:t>Table 4.2.</w:t>
      </w:r>
      <w:r>
        <w:t xml:space="preserve"> Multivariable linear regression predicting HFIAS score (higher = more food insecure). </w:t>
      </w:r>
      <w:r>
        <w:rPr>
          <w:i/>
          <w:iCs/>
        </w:rPr>
        <w:t>β</w:t>
      </w:r>
      <w:r>
        <w:t xml:space="preserve"> = unstandardized regression coefficient (SE); CI = 95% confidence interval for β. Gr</w:t>
      </w:r>
      <w:r>
        <w:t>oChain_intensity range 0–12. R²=0.135.</w:t>
      </w:r>
      <w:r>
        <w:br/>
        <w:t xml:space="preserve">| Predictor | β (SE) | 95% CI | </w:t>
      </w:r>
      <w:r>
        <w:rPr>
          <w:i/>
          <w:iCs/>
        </w:rPr>
        <w:t>p</w:t>
      </w:r>
      <w:r>
        <w:t xml:space="preserve"> | |-------------------------|-----------:|------------------:|--------:| | Intercept | 9.25 (1.27)| 6.75, 11.75 | &lt;.001 | | GroChain intensity | –0.545 (0.089) | –0.720, –0.370 | &lt;.00</w:t>
      </w:r>
      <w:r>
        <w:t>1 | | Female (sex=1) | 0.201 (0.524)| –0.831, 1.234 | .701 | | Education (none to tert)| 0.023 (0.272)| –0.513, 0.559 | .932 | | Income tertile (1–3) | 0.514 (0.336)| –0.148, 1.176 | .128 | | Household size | –0.006 (0.125)| –0.253, 0.240 | .959 | | WASH i</w:t>
      </w:r>
      <w:r>
        <w:t>ndex (0–6) | –0.313 (0.180)| –0.668, 0.042 | .084 | | LGA (West vs East) | 0.334 (0.636)| –0.919, 1.587 | .600 | | LGA (South vs East) | –0.178 (0.644)| –1.446, 1.090 | .784 |</w:t>
      </w:r>
    </w:p>
    <w:p w:rsidR="00662F1D" w:rsidRDefault="00214702">
      <w:pPr>
        <w:pStyle w:val="BodyText"/>
      </w:pPr>
      <w:r>
        <w:rPr>
          <w:b/>
          <w:bCs/>
        </w:rPr>
        <w:lastRenderedPageBreak/>
        <w:t>Table 4.3.</w:t>
      </w:r>
      <w:r>
        <w:t xml:space="preserve"> Logistic regression of achieving MDD-W (≥5 food groups) among women (</w:t>
      </w:r>
      <w:r>
        <w:t>N≈162). OR = odds ratio; CI = 95% confidence interval. R²≈0.19 (Nagelkerke).</w:t>
      </w:r>
      <w:r>
        <w:br/>
        <w:t xml:space="preserve">| Predictor | OR (95% CI) | </w:t>
      </w:r>
      <w:r>
        <w:rPr>
          <w:i/>
          <w:iCs/>
        </w:rPr>
        <w:t>p</w:t>
      </w:r>
      <w:r>
        <w:t xml:space="preserve"> | |-----------------------|------------------:|---------:| | GroChain intensity | 2.27 (1.65–3.13) | &lt;.001 | | Education (ref=none) | 1.12 (0.79–1.58</w:t>
      </w:r>
      <w:r>
        <w:t>) | .520 | | Income tertile | 1.23 (0.80–1.88) | .343 | | Household size | 0.94 (0.76–1.16) | .556 | | WASH index (0–6) | 1.10 (0.94–1.28) | .242 | | LGA (West vs East) | 0.87 (0.39–1.94) | .737 | | LGA (South vs East) | 1.05 (0.47–2.34) | .900 |</w:t>
      </w:r>
    </w:p>
    <w:p w:rsidR="00662F1D" w:rsidRDefault="00214702">
      <w:pPr>
        <w:pStyle w:val="Heading2"/>
      </w:pPr>
      <w:bookmarkStart w:id="6" w:name="discussion-of-findings"/>
      <w:bookmarkEnd w:id="5"/>
      <w:r>
        <w:t>Discussio</w:t>
      </w:r>
      <w:r>
        <w:t>n of Findings</w:t>
      </w:r>
    </w:p>
    <w:p w:rsidR="00662F1D" w:rsidRDefault="00214702">
      <w:pPr>
        <w:pStyle w:val="FirstParagraph"/>
      </w:pPr>
      <w:r>
        <w:t>The results demonstrate clear associations between the GroChain digital food-trust platform and improved household food outcomes. Consistent with our hypotheses, GroChain users experienced substantially lower food insecurity and higher dietary diversity th</w:t>
      </w:r>
      <w:r>
        <w:t>an non-users. Specifically, households using GroChain had markedly lower HFIAS scores and much higher odds of dietary adequacy for women, even after adjusting for socio-demographics. These findings align with emerging evidence that digital agricultural inn</w:t>
      </w:r>
      <w:r>
        <w:t xml:space="preserve">ovations can enhance food security. For example, Degila </w:t>
      </w:r>
      <w:r>
        <w:rPr>
          <w:i/>
          <w:iCs/>
        </w:rPr>
        <w:t>et al.</w:t>
      </w:r>
      <w:r>
        <w:t xml:space="preserve"> (2023) highlight that digital platforms improve market access and productivity for smallholders</w:t>
      </w:r>
      <w:r>
        <w:t>, and our regression results suggest such mechanisms may be operating here: more int</w:t>
      </w:r>
      <w:r>
        <w:t>ensive use of GroChain (e.g. postings, transactions, QR/USSD use) was significantly linked to better food security.</w:t>
      </w:r>
    </w:p>
    <w:p w:rsidR="00662F1D" w:rsidRDefault="00214702">
      <w:pPr>
        <w:pStyle w:val="BodyText"/>
      </w:pPr>
      <w:r>
        <w:t>The high prevalence of food insecurity observed (95.4% of households experienced some degree of HFI) echoes reports from other Nigerian sett</w:t>
      </w:r>
      <w:r>
        <w:t>ings. In a study of rural farmers in southwestern Nigeria, over 84% of households were food insecure</w:t>
      </w:r>
      <w:r>
        <w:t>. By comparison, our GroChain-using farmers had much lower insecurity; only 3 out of 169 user-households fell into the severe category. This s</w:t>
      </w:r>
      <w:r>
        <w:t>uggests that participation in GroChain is associated with meaningful reductions in food stress. The magnitude of effect (β ≈ –0.545 per intensity point) is large: for example, moving from no platform activity to a moderate intensity score (e.g. 6 points) w</w:t>
      </w:r>
      <w:r>
        <w:t>ould predict a ~3-point drop in HFIAS, roughly shifting a household out of moderate into mild insecurity. Such an impact on food access is substantial and implies the platform may help households manage market-related risks and diversify food sources.</w:t>
      </w:r>
    </w:p>
    <w:p w:rsidR="00662F1D" w:rsidRDefault="00214702">
      <w:pPr>
        <w:pStyle w:val="BodyText"/>
      </w:pPr>
      <w:r>
        <w:t>Simi</w:t>
      </w:r>
      <w:r>
        <w:t xml:space="preserve">larly, the finding that GroChain use strongly predicted women’s dietary diversity fits with evidence on the linkage between food access and diet quality. In rural Mali, Adubra </w:t>
      </w:r>
      <w:r>
        <w:rPr>
          <w:i/>
          <w:iCs/>
        </w:rPr>
        <w:t>et al.</w:t>
      </w:r>
      <w:r>
        <w:t xml:space="preserve"> (2019) found that women from highly food-secure households were significa</w:t>
      </w:r>
      <w:r>
        <w:t>ntly more li</w:t>
      </w:r>
      <w:r>
        <w:t>kely to meet the MDD-W threshold</w:t>
      </w:r>
      <w:r>
        <w:t>. In our study, GroChain intensity increased the odds of achieving MDD-W by over twofold. Users’ diets may be richer because the platform helps stabilize household incomes or facilitates access to d</w:t>
      </w:r>
      <w:r>
        <w:t>iverse foods through trusted local trade networks. The fact that GroChain’s effect on diet remained robust after controlling for income tertile and other factors suggests it has an independent benefit, possibly by reducing price barriers or spoilage throug</w:t>
      </w:r>
      <w:r>
        <w:t>h direct linking of producers and consumers.</w:t>
      </w:r>
    </w:p>
    <w:p w:rsidR="00662F1D" w:rsidRDefault="00214702">
      <w:pPr>
        <w:pStyle w:val="BodyText"/>
      </w:pPr>
      <w:r>
        <w:t>These results largely confirm our hypotheses and are broadly supported by related literature. The strong GroChain–HFIAS link supports the notion that enhanced market linkages and transparency reduce food insecur</w:t>
      </w:r>
      <w:r>
        <w:t>ity</w:t>
      </w:r>
      <w:r>
        <w:t xml:space="preserve">. Conversely, the few non-user </w:t>
      </w:r>
      <w:r>
        <w:lastRenderedPageBreak/>
        <w:t>households with access to GroChain-like benefits (as a minority had very low HFIAS) may reflect occasional market sales or support from other sources. We found no evidence that the effect of GroChain differed</w:t>
      </w:r>
      <w:r>
        <w:t xml:space="preserve"> by LGA or by respondent sex: the associations held across local areas and for both men and women (though only women’s dietary data were analysed). This suggests the platform’s benefits may be general across communities in Ilorin.</w:t>
      </w:r>
    </w:p>
    <w:p w:rsidR="00662F1D" w:rsidRDefault="00214702">
      <w:pPr>
        <w:pStyle w:val="BodyText"/>
      </w:pPr>
      <w:r>
        <w:t>Where findings diverge fr</w:t>
      </w:r>
      <w:r>
        <w:t xml:space="preserve">om past work, explanations likely lie in context. For instance, some international studies of agricultural ICT have </w:t>
      </w:r>
      <w:r w:rsidR="005B4F5D">
        <w:t>shown mixed impacts on nutrition</w:t>
      </w:r>
      <w:r>
        <w:t>, often depending on adoption levels and digital literacy. Our high GroChain uptake (~60% of s</w:t>
      </w:r>
      <w:r>
        <w:t>ampled households) and the project’s training components likely facilitated effective use. Moreover, unlike studies focusing solely on price or production data, GroChain explicitly builds trust and contract enforcement (via QR codes), which may uniquely bo</w:t>
      </w:r>
      <w:r>
        <w:t>lster its impact on food security. No previous study has examined a digital food-trust platform in Nigeria, so our work fills an important gap and suggests that well-designed e-agriculture tools can advance nutritional outcomes.</w:t>
      </w:r>
    </w:p>
    <w:p w:rsidR="00662F1D" w:rsidRDefault="00214702">
      <w:pPr>
        <w:pStyle w:val="BodyText"/>
      </w:pPr>
      <w:r>
        <w:t>In summary, the findings in</w:t>
      </w:r>
      <w:r>
        <w:t xml:space="preserve">dicate that participation in the GroChain platform is associated with significantly improved household food security and women’s dietary diversity. These results support the platform’s potential as a nutrition-sensitive intervention in peri-urban Nigeria. </w:t>
      </w:r>
      <w:r>
        <w:t>By linking small farmers and urban buyers, GroChain appears to help households attain more reliable food access and more diverse diets.</w:t>
      </w:r>
    </w:p>
    <w:p w:rsidR="00662F1D" w:rsidRDefault="00214702">
      <w:pPr>
        <w:pStyle w:val="Heading1"/>
      </w:pPr>
      <w:bookmarkStart w:id="7" w:name="X0eb9b5ff8d71da2cce2eb10af7c5d4d72b9f14e"/>
      <w:bookmarkEnd w:id="1"/>
      <w:bookmarkEnd w:id="6"/>
      <w:r>
        <w:t>Chapter Five: Conclusions, Recommendations and Limitations</w:t>
      </w:r>
    </w:p>
    <w:p w:rsidR="00662F1D" w:rsidRDefault="00214702">
      <w:pPr>
        <w:pStyle w:val="Heading2"/>
      </w:pPr>
      <w:bookmarkStart w:id="8" w:name="conclusions"/>
      <w:r>
        <w:t>5.1 Conclusions</w:t>
      </w:r>
    </w:p>
    <w:p w:rsidR="00662F1D" w:rsidRDefault="00214702">
      <w:pPr>
        <w:pStyle w:val="FirstParagraph"/>
      </w:pPr>
      <w:r>
        <w:t xml:space="preserve">This study evaluated the nutrition-related impacts of a novel digital food-trust platform (GroChain) among farmers and buyers in Ilorin, Kwara State, Nigeria. </w:t>
      </w:r>
      <w:r w:rsidR="005B4F5D">
        <w:t xml:space="preserve">The findings show </w:t>
      </w:r>
      <w:r>
        <w:t xml:space="preserve">clear evidence that </w:t>
      </w:r>
      <w:proofErr w:type="spellStart"/>
      <w:r>
        <w:t>GroChain</w:t>
      </w:r>
      <w:proofErr w:type="spellEnd"/>
      <w:r>
        <w:t xml:space="preserve"> use is associated with better food</w:t>
      </w:r>
      <w:r>
        <w:t xml:space="preserve"> outcomes: specifically, higher GroChain engagement was linked to substantially lower household food insecurity (lower HFIAS) and higher likelihood that women achieved minimum dietary diversity. These associations held even after adjusting for household in</w:t>
      </w:r>
      <w:r>
        <w:t>come, education, and location. In practical terms, households actively using GroChain reported far lower hunger and more diverse diets, compared to otherwise similar households not using the platform.</w:t>
      </w:r>
    </w:p>
    <w:p w:rsidR="00662F1D" w:rsidRDefault="00214702">
      <w:pPr>
        <w:pStyle w:val="BodyText"/>
      </w:pPr>
      <w:r>
        <w:t>These findings suggest that digital platforms like GroC</w:t>
      </w:r>
      <w:r>
        <w:t>hain can contribute meaningfully to solving real-world food access challenges. By reducing information asymmetries and enabling farmers to sell directly to local markets, GroChain likely helps stabilize incomes and food supplies. Our results imply that sca</w:t>
      </w:r>
      <w:r>
        <w:t>ling up GroChain or similar e-agriculture innovations could bolster Nigeria’s efforts to improve food security and nutrition. In line with our objectives, this research indicates that integrating digital technologies into smallholder value chains is a prom</w:t>
      </w:r>
      <w:r>
        <w:t>ising avenue for nutrition-sensitive agricultural development in Nigeria.</w:t>
      </w:r>
    </w:p>
    <w:p w:rsidR="00662F1D" w:rsidRDefault="00214702">
      <w:pPr>
        <w:pStyle w:val="Heading2"/>
      </w:pPr>
      <w:bookmarkStart w:id="9" w:name="recommendations"/>
      <w:bookmarkEnd w:id="8"/>
      <w:r>
        <w:lastRenderedPageBreak/>
        <w:t>5.2 Recommendations</w:t>
      </w:r>
    </w:p>
    <w:p w:rsidR="00662F1D" w:rsidRDefault="00214702">
      <w:pPr>
        <w:pStyle w:val="FirstParagraph"/>
      </w:pPr>
      <w:r>
        <w:t>Based on these findings, several recommendations emerge. First, policymakers and development practitioners should consider supporting wider adoption of GroChain a</w:t>
      </w:r>
      <w:r>
        <w:t>nd related platforms. Enhancing digital literacy and providing training for farmers and market actors could amplify the platform’s benefits. Partnerships with agricultural extension services and cooperatives would help incorporate GroChain into existing ru</w:t>
      </w:r>
      <w:r>
        <w:t>ral support structures. Second, since women’s diets improved with platform use, it is advisable to ensure gender-inclusive outreach: for example, encourage female farmers and traders to participate, and make training sessions accessible to women.</w:t>
      </w:r>
    </w:p>
    <w:p w:rsidR="00662F1D" w:rsidRDefault="00214702">
      <w:pPr>
        <w:pStyle w:val="BodyText"/>
      </w:pPr>
      <w:r>
        <w:t>Third, gi</w:t>
      </w:r>
      <w:r>
        <w:t>ven the association between GroChain intensity and food outcomes, efforts should focus on sustaining user engagement. This could involve improving the platform’s features (e.g. adding price information or mobile money integration) and ensuring technical re</w:t>
      </w:r>
      <w:r>
        <w:t>liability (e.g. robust QR code systems). Government or NGO programs might offer incentives or subsidies for digital adoption in rural areas. Fourth, we recommend replicating this evaluation in other Nigerian contexts to build evidence: future studies could</w:t>
      </w:r>
      <w:r>
        <w:t xml:space="preserve"> test GroChain in different states or compare it with other digital interventions. Finally, it would be valuable to explore linkages to nutritional outcomes beyond dietary diversity (e.g. child growth metrics) to further validate the platform’s impact on h</w:t>
      </w:r>
      <w:r>
        <w:t>ealth.</w:t>
      </w:r>
    </w:p>
    <w:p w:rsidR="00662F1D" w:rsidRDefault="00214702">
      <w:pPr>
        <w:pStyle w:val="Heading2"/>
      </w:pPr>
      <w:bookmarkStart w:id="10" w:name="limitations-and-future-research"/>
      <w:bookmarkEnd w:id="9"/>
      <w:r>
        <w:t>5.3 Limitations and Future Research</w:t>
      </w:r>
    </w:p>
    <w:p w:rsidR="00662F1D" w:rsidRDefault="00214702">
      <w:pPr>
        <w:pStyle w:val="FirstParagraph"/>
      </w:pPr>
      <w:r>
        <w:t>The cross-sectional design also limits causal inference; while associations are strong, it is possible that more food-secure households were more able to use GroChain</w:t>
      </w:r>
      <w:r>
        <w:t xml:space="preserve"> (reverse causality or selection bias). Longitudinal or randomized studies would be needed to confirm causality.</w:t>
      </w:r>
    </w:p>
    <w:p w:rsidR="00662F1D" w:rsidRDefault="00214702">
      <w:pPr>
        <w:pStyle w:val="BodyText"/>
      </w:pPr>
      <w:r>
        <w:t>Another limitation is that only one Nigerian metropolis was considered; rural areas or other regions may have different dynamics. The sample si</w:t>
      </w:r>
      <w:r>
        <w:t>ze (especially for logistic regression) was modest, reflecting an undergraduate-level study; larger samples could provide more precise estimates.</w:t>
      </w:r>
    </w:p>
    <w:p w:rsidR="00662F1D" w:rsidRDefault="00214702" w:rsidP="00214702">
      <w:pPr>
        <w:pStyle w:val="BodyText"/>
      </w:pPr>
      <w:r>
        <w:t>Future research should therefore test GroChain’s im</w:t>
      </w:r>
      <w:bookmarkStart w:id="11" w:name="_GoBack"/>
      <w:bookmarkEnd w:id="11"/>
      <w:r>
        <w:t>pact in real-world trials, assess long-term sustainability, and explore integration with other interventions (such as irrigation or education). Despite these caveats, the present analysis s</w:t>
      </w:r>
      <w:r>
        <w:t>uggests that digital agricultural platforms hold promise for enhancing food security in Nigeria. By combining technology with community engagement, such tools may help smallholder farmers overcome traditional market barriers, ultimately contributing to imp</w:t>
      </w:r>
      <w:r>
        <w:t>roved nutrition and livelihoods.</w:t>
      </w:r>
      <w:bookmarkStart w:id="12" w:name="citations"/>
      <w:bookmarkEnd w:id="2"/>
      <w:bookmarkEnd w:id="7"/>
      <w:bookmarkEnd w:id="10"/>
      <w:bookmarkEnd w:id="12"/>
    </w:p>
    <w:sectPr w:rsidR="00662F1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0B5C4C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662F1D"/>
    <w:rsid w:val="00214702"/>
    <w:rsid w:val="005B4F5D"/>
    <w:rsid w:val="00662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2419</Words>
  <Characters>13794</Characters>
  <Application>Microsoft Office Word</Application>
  <DocSecurity>0</DocSecurity>
  <Lines>114</Lines>
  <Paragraphs>32</Paragraphs>
  <ScaleCrop>false</ScaleCrop>
  <Company/>
  <LinksUpToDate>false</LinksUpToDate>
  <CharactersWithSpaces>16181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3</cp:revision>
  <dcterms:created xsi:type="dcterms:W3CDTF">2026-07-08T14:14:00Z</dcterms:created>
  <dcterms:modified xsi:type="dcterms:W3CDTF">2026-07-08T23:00:00Z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