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200" w:lineRule="auto"/>
        <w:jc w:val="center"/>
        <w:rPr>
          <w:rFonts w:ascii="Garamond" w:cs="Garamond" w:eastAsia="Garamond" w:hAnsi="Garamond"/>
          <w:b w:val="1"/>
          <w:bCs w:val="1"/>
          <w:color w:val="000000"/>
          <w:sz w:val="22"/>
          <w:szCs w:val="22"/>
        </w:rPr>
      </w:pPr>
      <w:r w:rsidDel="00000000" w:rsidR="00000000" w:rsidRPr="00000000">
        <w:rPr>
          <w:rFonts w:ascii="Garamond" w:cs="Garamond" w:eastAsia="Garamond" w:hAnsi="Garamond"/>
          <w:b w:val="1"/>
          <w:bCs w:val="1"/>
          <w:color w:val="000000"/>
          <w:sz w:val="22"/>
          <w:szCs w:val="22"/>
          <w:rtl w:val="0"/>
        </w:rPr>
        <w:t xml:space="preserve">ANNEX A - SCOPE OF WORK &amp; MILESTONES</w:t>
      </w:r>
    </w:p>
    <w:p w:rsidR="00000000" w:rsidDel="00000000" w:rsidP="00000000" w:rsidRDefault="00000000" w:rsidRPr="00000000" w14:paraId="00000002">
      <w:pPr>
        <w:numPr>
          <w:ilvl w:val="0"/>
          <w:numId w:val="1"/>
        </w:numPr>
        <w:spacing w:after="200" w:before="200" w:lineRule="auto"/>
        <w:ind w:left="72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This Annex A defines the advisory obligations, responsibilities, milestones, and vesting criteria applicable to </w:t>
      </w:r>
      <w:r w:rsidDel="00000000" w:rsidR="00000000" w:rsidRPr="00000000">
        <w:rPr>
          <w:rFonts w:ascii="Garamond" w:cs="Garamond" w:eastAsia="Garamond" w:hAnsi="Garamond"/>
          <w:b w:val="1"/>
          <w:bCs w:val="1"/>
          <w:sz w:val="22"/>
          <w:szCs w:val="22"/>
          <w:rtl w:val="0"/>
        </w:rPr>
        <w:t xml:space="preserve">Mr. Adam Jenkins</w:t>
      </w:r>
      <w:r w:rsidDel="00000000" w:rsidR="00000000" w:rsidRPr="00000000">
        <w:rPr>
          <w:rFonts w:ascii="Garamond" w:cs="Garamond" w:eastAsia="Garamond" w:hAnsi="Garamond"/>
          <w:sz w:val="22"/>
          <w:szCs w:val="22"/>
          <w:rtl w:val="0"/>
        </w:rPr>
        <w:t xml:space="preserve">, whose advisory engagement focuses on supporting Protocol Spring’s capital markets strategy, fundraising execution, and institutional partnerships. The Adviser’s role centers on leveraging extensive experience in hedge funds, venture capital, institutional finance, and public markets to accelerate the Company’s access to capital, improve investor readiness, and support long-term fundraising and market expansion objectives.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both"/>
        <w:rPr>
          <w:rFonts w:ascii="Garamond" w:cs="Garamond" w:eastAsia="Garamond" w:hAnsi="Garamond"/>
          <w:sz w:val="22"/>
          <w:szCs w:val="22"/>
        </w:rPr>
      </w:pPr>
      <w:r w:rsidDel="00000000" w:rsidR="00000000" w:rsidRPr="00000000">
        <w:rPr>
          <w:rFonts w:ascii="Garamond" w:cs="Garamond" w:eastAsia="Garamond" w:hAnsi="Garamond"/>
          <w:color w:val="000000"/>
          <w:sz w:val="22"/>
          <w:szCs w:val="22"/>
          <w:rtl w:val="0"/>
        </w:rPr>
        <w:t xml:space="preserve">Advisory Role </w:t>
      </w:r>
      <w:r w:rsidDel="00000000" w:rsidR="00000000" w:rsidRPr="00000000">
        <w:rPr>
          <w:rtl w:val="0"/>
        </w:rPr>
      </w:r>
    </w:p>
    <w:p w:rsidR="00000000" w:rsidDel="00000000" w:rsidP="00000000" w:rsidRDefault="00000000" w:rsidRPr="00000000" w14:paraId="00000004">
      <w:pPr>
        <w:spacing w:after="200" w:before="2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Adviser shall provide specialized strategic guidance in the following areas:</w:t>
      </w:r>
    </w:p>
    <w:p w:rsidR="00000000" w:rsidDel="00000000" w:rsidP="00000000" w:rsidRDefault="00000000" w:rsidRPr="00000000" w14:paraId="00000005">
      <w:pPr>
        <w:numPr>
          <w:ilvl w:val="0"/>
          <w:numId w:val="4"/>
        </w:numPr>
        <w:spacing w:after="240" w:before="240" w:lineRule="auto"/>
        <w:ind w:left="720" w:hanging="360"/>
        <w:jc w:val="both"/>
        <w:rPr>
          <w:sz w:val="22"/>
          <w:szCs w:val="22"/>
        </w:rPr>
      </w:pPr>
      <w:r w:rsidDel="00000000" w:rsidR="00000000" w:rsidRPr="00000000">
        <w:rPr>
          <w:rFonts w:ascii="Garamond" w:cs="Garamond" w:eastAsia="Garamond" w:hAnsi="Garamond"/>
          <w:b w:val="1"/>
          <w:bCs w:val="1"/>
          <w:sz w:val="22"/>
          <w:szCs w:val="22"/>
          <w:rtl w:val="0"/>
        </w:rPr>
        <w:t xml:space="preserve">Institutional Access:</w:t>
      </w:r>
      <w:r w:rsidDel="00000000" w:rsidR="00000000" w:rsidRPr="00000000">
        <w:rPr>
          <w:rFonts w:ascii="Garamond" w:cs="Garamond" w:eastAsia="Garamond" w:hAnsi="Garamond"/>
          <w:sz w:val="22"/>
          <w:szCs w:val="22"/>
          <w:rtl w:val="0"/>
        </w:rPr>
        <w:t xml:space="preserve"> opening doors to financial institutions, fintech operators, VC/PE funds, family offices, hedge funds, and other capital providers relevant to the Company’s roadmap;</w:t>
      </w:r>
    </w:p>
    <w:p w:rsidR="00000000" w:rsidDel="00000000" w:rsidP="00000000" w:rsidRDefault="00000000" w:rsidRPr="00000000" w14:paraId="00000006">
      <w:pPr>
        <w:numPr>
          <w:ilvl w:val="0"/>
          <w:numId w:val="4"/>
        </w:numPr>
        <w:spacing w:after="240" w:before="240" w:lineRule="auto"/>
        <w:ind w:left="720" w:hanging="360"/>
        <w:jc w:val="both"/>
        <w:rPr>
          <w:sz w:val="22"/>
          <w:szCs w:val="22"/>
        </w:rPr>
      </w:pPr>
      <w:r w:rsidDel="00000000" w:rsidR="00000000" w:rsidRPr="00000000">
        <w:rPr>
          <w:rFonts w:ascii="Garamond" w:cs="Garamond" w:eastAsia="Garamond" w:hAnsi="Garamond"/>
          <w:b w:val="1"/>
          <w:bCs w:val="1"/>
          <w:sz w:val="22"/>
          <w:szCs w:val="22"/>
          <w:rtl w:val="0"/>
        </w:rPr>
        <w:t xml:space="preserve">Fundraising Strategy and Capital Markets Advisory:</w:t>
      </w:r>
      <w:r w:rsidDel="00000000" w:rsidR="00000000" w:rsidRPr="00000000">
        <w:rPr>
          <w:rFonts w:ascii="Garamond" w:cs="Garamond" w:eastAsia="Garamond" w:hAnsi="Garamond"/>
          <w:sz w:val="22"/>
          <w:szCs w:val="22"/>
          <w:rtl w:val="0"/>
        </w:rPr>
        <w:t xml:space="preserve"> guiding the Company through its upcoming Seed Round (2026) and later Series A or IPO events planned for 2027–2028, including preparation, structuring, investor targeting, and narrative positioning;</w:t>
      </w:r>
    </w:p>
    <w:p w:rsidR="00000000" w:rsidDel="00000000" w:rsidP="00000000" w:rsidRDefault="00000000" w:rsidRPr="00000000" w14:paraId="00000007">
      <w:pPr>
        <w:numPr>
          <w:ilvl w:val="0"/>
          <w:numId w:val="4"/>
        </w:numPr>
        <w:spacing w:after="240" w:before="240" w:lineRule="auto"/>
        <w:ind w:left="720" w:hanging="360"/>
        <w:jc w:val="both"/>
        <w:rPr>
          <w:sz w:val="22"/>
          <w:szCs w:val="22"/>
        </w:rPr>
      </w:pPr>
      <w:r w:rsidDel="00000000" w:rsidR="00000000" w:rsidRPr="00000000">
        <w:rPr>
          <w:rFonts w:ascii="Garamond" w:cs="Garamond" w:eastAsia="Garamond" w:hAnsi="Garamond"/>
          <w:b w:val="1"/>
          <w:bCs w:val="1"/>
          <w:sz w:val="22"/>
          <w:szCs w:val="22"/>
          <w:rtl w:val="0"/>
        </w:rPr>
        <w:t xml:space="preserve">Financial Strategy and Market Positioning:</w:t>
      </w:r>
      <w:r w:rsidDel="00000000" w:rsidR="00000000" w:rsidRPr="00000000">
        <w:rPr>
          <w:rFonts w:ascii="Garamond" w:cs="Garamond" w:eastAsia="Garamond" w:hAnsi="Garamond"/>
          <w:sz w:val="22"/>
          <w:szCs w:val="22"/>
          <w:rtl w:val="0"/>
        </w:rPr>
        <w:t xml:space="preserve"> advising on financial models, valuation strategy, strategic positioning, and investor materials for institutional capital;</w:t>
      </w:r>
    </w:p>
    <w:p w:rsidR="00000000" w:rsidDel="00000000" w:rsidP="00000000" w:rsidRDefault="00000000" w:rsidRPr="00000000" w14:paraId="00000008">
      <w:pPr>
        <w:numPr>
          <w:ilvl w:val="0"/>
          <w:numId w:val="4"/>
        </w:numPr>
        <w:spacing w:after="240" w:before="240" w:lineRule="auto"/>
        <w:ind w:left="720" w:hanging="360"/>
        <w:jc w:val="both"/>
        <w:rPr>
          <w:sz w:val="22"/>
          <w:szCs w:val="22"/>
        </w:rPr>
      </w:pPr>
      <w:r w:rsidDel="00000000" w:rsidR="00000000" w:rsidRPr="00000000">
        <w:rPr>
          <w:rFonts w:ascii="Garamond" w:cs="Garamond" w:eastAsia="Garamond" w:hAnsi="Garamond"/>
          <w:b w:val="1"/>
          <w:bCs w:val="1"/>
          <w:sz w:val="22"/>
          <w:szCs w:val="22"/>
          <w:rtl w:val="0"/>
        </w:rPr>
        <w:t xml:space="preserve">Strategic Partnerships and Liquidity Access:</w:t>
      </w:r>
      <w:r w:rsidDel="00000000" w:rsidR="00000000" w:rsidRPr="00000000">
        <w:rPr>
          <w:rFonts w:ascii="Garamond" w:cs="Garamond" w:eastAsia="Garamond" w:hAnsi="Garamond"/>
          <w:sz w:val="22"/>
          <w:szCs w:val="22"/>
          <w:rtl w:val="0"/>
        </w:rPr>
        <w:t xml:space="preserve"> introducing potential enterprise clients, strategic partners, and liquidity providers that may contribute to the Company’s ecosystem growth;</w:t>
      </w:r>
    </w:p>
    <w:p w:rsidR="00000000" w:rsidDel="00000000" w:rsidP="00000000" w:rsidRDefault="00000000" w:rsidRPr="00000000" w14:paraId="00000009">
      <w:pPr>
        <w:numPr>
          <w:ilvl w:val="0"/>
          <w:numId w:val="4"/>
        </w:numPr>
        <w:spacing w:after="240" w:before="240" w:lineRule="auto"/>
        <w:ind w:left="720" w:hanging="360"/>
        <w:jc w:val="both"/>
        <w:rPr>
          <w:sz w:val="22"/>
          <w:szCs w:val="22"/>
        </w:rPr>
      </w:pPr>
      <w:r w:rsidDel="00000000" w:rsidR="00000000" w:rsidRPr="00000000">
        <w:rPr>
          <w:rFonts w:ascii="Garamond" w:cs="Garamond" w:eastAsia="Garamond" w:hAnsi="Garamond"/>
          <w:b w:val="1"/>
          <w:bCs w:val="1"/>
          <w:sz w:val="22"/>
          <w:szCs w:val="22"/>
          <w:rtl w:val="0"/>
        </w:rPr>
        <w:t xml:space="preserve">Strategic Advisory Participation:</w:t>
      </w:r>
      <w:r w:rsidDel="00000000" w:rsidR="00000000" w:rsidRPr="00000000">
        <w:rPr>
          <w:rFonts w:ascii="Garamond" w:cs="Garamond" w:eastAsia="Garamond" w:hAnsi="Garamond"/>
          <w:sz w:val="22"/>
          <w:szCs w:val="22"/>
          <w:rtl w:val="0"/>
        </w:rPr>
        <w:t xml:space="preserve"> providing up to four (4) hours per month of senior advisory support and participating in the Company’s monthly executive call.</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both"/>
        <w:rPr>
          <w:rFonts w:ascii="Garamond" w:cs="Garamond" w:eastAsia="Garamond" w:hAnsi="Garamond"/>
          <w:i w:val="0"/>
          <w:iCs w:val="0"/>
          <w:smallCaps w:val="0"/>
          <w:strike w:val="0"/>
          <w:color w:val="000000"/>
          <w:sz w:val="22"/>
          <w:szCs w:val="22"/>
          <w:shd w:fill="auto" w:val="clear"/>
          <w:vertAlign w:val="baseline"/>
        </w:rPr>
      </w:pPr>
      <w:r w:rsidDel="00000000" w:rsidR="00000000" w:rsidRPr="00000000">
        <w:rPr>
          <w:rFonts w:ascii="Garamond" w:cs="Garamond" w:eastAsia="Garamond" w:hAnsi="Garamond"/>
          <w:sz w:val="22"/>
          <w:szCs w:val="22"/>
          <w:rtl w:val="0"/>
        </w:rPr>
        <w:t xml:space="preserve">Fixed Equity Vesting</w:t>
      </w:r>
      <w:r w:rsidDel="00000000" w:rsidR="00000000" w:rsidRPr="00000000">
        <w:rPr>
          <w:rtl w:val="0"/>
        </w:rPr>
      </w:r>
    </w:p>
    <w:p w:rsidR="00000000" w:rsidDel="00000000" w:rsidP="00000000" w:rsidRDefault="00000000" w:rsidRPr="00000000" w14:paraId="0000000B">
      <w:pPr>
        <w:numPr>
          <w:ilvl w:val="1"/>
          <w:numId w:val="1"/>
        </w:numPr>
        <w:spacing w:after="200" w:before="200" w:lineRule="auto"/>
        <w:ind w:left="144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Adviser is eligible for a fixed equity allocation equal to 0.5% of the Company’s Fully Diluted Equity; </w:t>
      </w:r>
    </w:p>
    <w:p w:rsidR="00000000" w:rsidDel="00000000" w:rsidP="00000000" w:rsidRDefault="00000000" w:rsidRPr="00000000" w14:paraId="0000000C">
      <w:pPr>
        <w:numPr>
          <w:ilvl w:val="1"/>
          <w:numId w:val="1"/>
        </w:numPr>
        <w:spacing w:after="200" w:before="200" w:lineRule="auto"/>
        <w:ind w:left="144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This fixed equity vests over twelve (12) months with a three (3) month cliff;</w:t>
      </w:r>
    </w:p>
    <w:p w:rsidR="00000000" w:rsidDel="00000000" w:rsidP="00000000" w:rsidRDefault="00000000" w:rsidRPr="00000000" w14:paraId="0000000D">
      <w:pPr>
        <w:numPr>
          <w:ilvl w:val="1"/>
          <w:numId w:val="1"/>
        </w:numPr>
        <w:spacing w:after="200" w:before="200" w:lineRule="auto"/>
        <w:ind w:left="144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Following completion of the cliff, the remaining equity vests in equal monthly installments.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Performance-Based Equity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4.1. The Adviser is eligible for up to 1.0% additional equity based on achievement of the Milestones below. </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rFonts w:ascii="Garamond" w:cs="Garamond" w:eastAsia="Garamond" w:hAnsi="Garamond"/>
          <w:sz w:val="22"/>
          <w:szCs w:val="22"/>
        </w:rPr>
      </w:pPr>
      <w:r w:rsidDel="00000000" w:rsidR="00000000" w:rsidRPr="00000000">
        <w:rPr>
          <w:rFonts w:ascii="Garamond" w:cs="Garamond" w:eastAsia="Garamond" w:hAnsi="Garamond"/>
          <w:b w:val="1"/>
          <w:bCs w:val="1"/>
          <w:i w:val="0"/>
          <w:iCs w:val="0"/>
          <w:color w:val="000000"/>
          <w:sz w:val="22"/>
          <w:szCs w:val="22"/>
          <w:rtl w:val="0"/>
        </w:rPr>
        <w:t xml:space="preserve">Milestone 1 – </w:t>
      </w:r>
      <w:r w:rsidDel="00000000" w:rsidR="00000000" w:rsidRPr="00000000">
        <w:rPr>
          <w:rFonts w:ascii="Garamond" w:cs="Garamond" w:eastAsia="Garamond" w:hAnsi="Garamond"/>
          <w:b w:val="1"/>
          <w:bCs w:val="1"/>
          <w:sz w:val="22"/>
          <w:szCs w:val="22"/>
          <w:rtl w:val="0"/>
        </w:rPr>
        <w:t xml:space="preserve">Successful Execution of the Seed Round (2026)</w:t>
      </w:r>
      <w:r w:rsidDel="00000000" w:rsidR="00000000" w:rsidRPr="00000000">
        <w:rPr>
          <w:rtl w:val="0"/>
        </w:rPr>
      </w:r>
    </w:p>
    <w:p w:rsidR="00000000" w:rsidDel="00000000" w:rsidP="00000000" w:rsidRDefault="00000000" w:rsidRPr="00000000" w14:paraId="00000011">
      <w:pPr>
        <w:spacing w:after="240" w:befor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u w:val="single"/>
          <w:rtl w:val="0"/>
        </w:rPr>
        <w:t xml:space="preserve">Description:</w:t>
      </w:r>
      <w:r w:rsidDel="00000000" w:rsidR="00000000" w:rsidRPr="00000000">
        <w:rPr>
          <w:rFonts w:ascii="Garamond" w:cs="Garamond" w:eastAsia="Garamond" w:hAnsi="Garamond"/>
          <w:sz w:val="22"/>
          <w:szCs w:val="22"/>
          <w:rtl w:val="0"/>
        </w:rPr>
        <w:t xml:space="preserve"> Adviser materially contributes to the successful execution, structuring, and closing of the Company’s Seed financing round planned for 2026.</w:t>
      </w:r>
    </w:p>
    <w:p w:rsidR="00000000" w:rsidDel="00000000" w:rsidP="00000000" w:rsidRDefault="00000000" w:rsidRPr="00000000" w14:paraId="00000012">
      <w:pPr>
        <w:spacing w:after="240" w:befor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u w:val="single"/>
          <w:rtl w:val="0"/>
        </w:rPr>
        <w:t xml:space="preserve">Deliverables include:</w:t>
      </w:r>
      <w:r w:rsidDel="00000000" w:rsidR="00000000" w:rsidRPr="00000000">
        <w:rPr>
          <w:rFonts w:ascii="Garamond" w:cs="Garamond" w:eastAsia="Garamond" w:hAnsi="Garamond"/>
          <w:sz w:val="22"/>
          <w:szCs w:val="22"/>
          <w:rtl w:val="0"/>
        </w:rPr>
        <w:t xml:space="preserve">  institutional introductions, investor preparation, capital markets positioning, narrative refinement, participation in fundraising strategy, and support during due diligence processes.</w:t>
      </w:r>
    </w:p>
    <w:p w:rsidR="00000000" w:rsidDel="00000000" w:rsidP="00000000" w:rsidRDefault="00000000" w:rsidRPr="00000000" w14:paraId="00000013">
      <w:pPr>
        <w:spacing w:after="240" w:befor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u w:val="single"/>
          <w:rtl w:val="0"/>
        </w:rPr>
        <w:t xml:space="preserve">Vesting:</w:t>
      </w:r>
      <w:r w:rsidDel="00000000" w:rsidR="00000000" w:rsidRPr="00000000">
        <w:rPr>
          <w:rFonts w:ascii="Garamond" w:cs="Garamond" w:eastAsia="Garamond" w:hAnsi="Garamond"/>
          <w:sz w:val="22"/>
          <w:szCs w:val="22"/>
          <w:rtl w:val="0"/>
        </w:rPr>
        <w:t xml:space="preserve"> 1.0% of Fully Diluted Equity upon confirmation by the Company.</w:t>
      </w:r>
    </w:p>
    <w:p w:rsidR="00000000" w:rsidDel="00000000" w:rsidP="00000000" w:rsidRDefault="00000000" w:rsidRPr="00000000" w14:paraId="00000014">
      <w:pPr>
        <w:pStyle w:val="Heading4"/>
        <w:keepNext w:val="0"/>
        <w:keepLines w:val="0"/>
        <w:numPr>
          <w:ilvl w:val="0"/>
          <w:numId w:val="3"/>
        </w:numPr>
        <w:spacing w:before="240" w:lineRule="auto"/>
        <w:ind w:left="1440" w:hanging="360"/>
        <w:jc w:val="both"/>
        <w:rPr>
          <w:rFonts w:ascii="Garamond" w:cs="Garamond" w:eastAsia="Garamond" w:hAnsi="Garamond"/>
          <w:b w:val="1"/>
          <w:bCs w:val="1"/>
          <w:i w:val="0"/>
          <w:iCs w:val="0"/>
          <w:color w:val="000000"/>
          <w:sz w:val="22"/>
          <w:szCs w:val="22"/>
        </w:rPr>
      </w:pPr>
      <w:bookmarkStart w:colFirst="0" w:colLast="0" w:name="_heading=h.2svzgijdxqqz" w:id="0"/>
      <w:bookmarkEnd w:id="0"/>
      <w:r w:rsidDel="00000000" w:rsidR="00000000" w:rsidRPr="00000000">
        <w:rPr>
          <w:rFonts w:ascii="Garamond" w:cs="Garamond" w:eastAsia="Garamond" w:hAnsi="Garamond"/>
          <w:b w:val="1"/>
          <w:bCs w:val="1"/>
          <w:i w:val="0"/>
          <w:iCs w:val="0"/>
          <w:color w:val="000000"/>
          <w:sz w:val="22"/>
          <w:szCs w:val="22"/>
          <w:rtl w:val="0"/>
        </w:rPr>
        <w:t xml:space="preserve">Milestone 2 – Leading Protocol Spring to a Series A or IPO Event (2027–2028)</w:t>
      </w:r>
    </w:p>
    <w:p w:rsidR="00000000" w:rsidDel="00000000" w:rsidP="00000000" w:rsidRDefault="00000000" w:rsidRPr="00000000" w14:paraId="00000015">
      <w:pPr>
        <w:spacing w:after="240" w:befor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u w:val="single"/>
          <w:rtl w:val="0"/>
        </w:rPr>
        <w:t xml:space="preserve">Description:</w:t>
      </w:r>
      <w:r w:rsidDel="00000000" w:rsidR="00000000" w:rsidRPr="00000000">
        <w:rPr>
          <w:rFonts w:ascii="Garamond" w:cs="Garamond" w:eastAsia="Garamond" w:hAnsi="Garamond"/>
          <w:sz w:val="22"/>
          <w:szCs w:val="22"/>
          <w:rtl w:val="0"/>
        </w:rPr>
        <w:t xml:space="preserve"> Adviser provides senior-level support resulting in the Company achieving a Series A financing event or initiating/structuring an IPO process during 2027–2028.</w:t>
      </w:r>
    </w:p>
    <w:p w:rsidR="00000000" w:rsidDel="00000000" w:rsidP="00000000" w:rsidRDefault="00000000" w:rsidRPr="00000000" w14:paraId="00000016">
      <w:pPr>
        <w:spacing w:after="240" w:befor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u w:val="single"/>
          <w:rtl w:val="0"/>
        </w:rPr>
        <w:t xml:space="preserve">Deliverables include:</w:t>
      </w:r>
      <w:r w:rsidDel="00000000" w:rsidR="00000000" w:rsidRPr="00000000">
        <w:rPr>
          <w:rFonts w:ascii="Garamond" w:cs="Garamond" w:eastAsia="Garamond" w:hAnsi="Garamond"/>
          <w:sz w:val="22"/>
          <w:szCs w:val="22"/>
          <w:rtl w:val="0"/>
        </w:rPr>
        <w:t xml:space="preserve"> strategic financial guidance, investor engagement support, valuation and market positioning input, and institutional access critical to triggering such an event.</w:t>
      </w:r>
    </w:p>
    <w:p w:rsidR="00000000" w:rsidDel="00000000" w:rsidP="00000000" w:rsidRDefault="00000000" w:rsidRPr="00000000" w14:paraId="00000017">
      <w:pPr>
        <w:spacing w:after="240" w:befor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u w:val="single"/>
          <w:rtl w:val="0"/>
        </w:rPr>
        <w:t xml:space="preserve">Vesting:</w:t>
      </w:r>
      <w:r w:rsidDel="00000000" w:rsidR="00000000" w:rsidRPr="00000000">
        <w:rPr>
          <w:rFonts w:ascii="Garamond" w:cs="Garamond" w:eastAsia="Garamond" w:hAnsi="Garamond"/>
          <w:sz w:val="22"/>
          <w:szCs w:val="22"/>
          <w:rtl w:val="0"/>
        </w:rPr>
        <w:t xml:space="preserve"> 1.0% of Fully Diluted Equity upon confirmation by the Company.</w:t>
      </w:r>
    </w:p>
    <w:p w:rsidR="00000000" w:rsidDel="00000000" w:rsidP="00000000" w:rsidRDefault="00000000" w:rsidRPr="00000000" w14:paraId="00000018">
      <w:pPr>
        <w:spacing w:after="240" w:befor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4.2. The Adviser shall notify the Company upon completing a Milestone and provide supporting details.</w:t>
      </w:r>
    </w:p>
    <w:p w:rsidR="00000000" w:rsidDel="00000000" w:rsidP="00000000" w:rsidRDefault="00000000" w:rsidRPr="00000000" w14:paraId="00000019">
      <w:pPr>
        <w:spacing w:after="240" w:befor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4.3. The Company shall assess the completion in good faith and issue written confirmation or request clarification within fourteen (14) days.</w:t>
      </w:r>
    </w:p>
    <w:p w:rsidR="00000000" w:rsidDel="00000000" w:rsidP="00000000" w:rsidRDefault="00000000" w:rsidRPr="00000000" w14:paraId="0000001A">
      <w:pPr>
        <w:spacing w:after="240" w:befor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4.4.  The Company's determination is final unless made in bad faith. Partial completion does not trigger vesting unless the Company expressly agrees in writing.</w:t>
      </w:r>
    </w:p>
    <w:p w:rsidR="00000000" w:rsidDel="00000000" w:rsidP="00000000" w:rsidRDefault="00000000" w:rsidRPr="00000000" w14:paraId="0000001B">
      <w:pPr>
        <w:pStyle w:val="Heading3"/>
        <w:keepNext w:val="0"/>
        <w:keepLines w:val="0"/>
        <w:spacing w:before="280" w:lineRule="auto"/>
        <w:jc w:val="both"/>
        <w:rPr>
          <w:rFonts w:ascii="Garamond" w:cs="Garamond" w:eastAsia="Garamond" w:hAnsi="Garamond"/>
          <w:color w:val="000000"/>
          <w:sz w:val="22"/>
          <w:szCs w:val="22"/>
        </w:rPr>
      </w:pPr>
      <w:bookmarkStart w:colFirst="0" w:colLast="0" w:name="_heading=h.wnb49jra5wpz" w:id="1"/>
      <w:bookmarkEnd w:id="1"/>
      <w:r w:rsidDel="00000000" w:rsidR="00000000" w:rsidRPr="00000000">
        <w:rPr>
          <w:rFonts w:ascii="Garamond" w:cs="Garamond" w:eastAsia="Garamond" w:hAnsi="Garamond"/>
          <w:color w:val="000000"/>
          <w:sz w:val="22"/>
          <w:szCs w:val="22"/>
          <w:rtl w:val="0"/>
        </w:rPr>
        <w:t xml:space="preserve">5. The Adviser is eligible for the following commission structure:</w:t>
      </w:r>
    </w:p>
    <w:p w:rsidR="00000000" w:rsidDel="00000000" w:rsidP="00000000" w:rsidRDefault="00000000" w:rsidRPr="00000000" w14:paraId="0000001C">
      <w:pPr>
        <w:pStyle w:val="Heading3"/>
        <w:keepNext w:val="0"/>
        <w:keepLines w:val="0"/>
        <w:numPr>
          <w:ilvl w:val="0"/>
          <w:numId w:val="2"/>
        </w:numPr>
        <w:spacing w:after="0" w:before="280" w:lineRule="auto"/>
        <w:ind w:left="720" w:hanging="360"/>
        <w:jc w:val="both"/>
        <w:rPr>
          <w:rFonts w:ascii="Garamond" w:cs="Garamond" w:eastAsia="Garamond" w:hAnsi="Garamond"/>
          <w:color w:val="000000"/>
          <w:sz w:val="22"/>
          <w:szCs w:val="22"/>
        </w:rPr>
      </w:pPr>
      <w:bookmarkStart w:colFirst="0" w:colLast="0" w:name="_heading=h.a05k8ovu615r" w:id="2"/>
      <w:bookmarkEnd w:id="2"/>
      <w:r w:rsidDel="00000000" w:rsidR="00000000" w:rsidRPr="00000000">
        <w:rPr>
          <w:rFonts w:ascii="Garamond" w:cs="Garamond" w:eastAsia="Garamond" w:hAnsi="Garamond"/>
          <w:color w:val="000000"/>
          <w:sz w:val="22"/>
          <w:szCs w:val="22"/>
          <w:rtl w:val="0"/>
        </w:rPr>
        <w:t xml:space="preserve">4% of all capital raised from investors directly introduced by the Adviser, payable only upon the Company’s receipt of funds;</w:t>
      </w:r>
    </w:p>
    <w:p w:rsidR="00000000" w:rsidDel="00000000" w:rsidP="00000000" w:rsidRDefault="00000000" w:rsidRPr="00000000" w14:paraId="0000001D">
      <w:pPr>
        <w:pStyle w:val="Heading3"/>
        <w:keepNext w:val="0"/>
        <w:keepLines w:val="0"/>
        <w:numPr>
          <w:ilvl w:val="0"/>
          <w:numId w:val="2"/>
        </w:numPr>
        <w:spacing w:before="0" w:lineRule="auto"/>
        <w:ind w:left="720" w:hanging="360"/>
        <w:jc w:val="both"/>
        <w:rPr>
          <w:rFonts w:ascii="Garamond" w:cs="Garamond" w:eastAsia="Garamond" w:hAnsi="Garamond"/>
          <w:color w:val="000000"/>
          <w:sz w:val="22"/>
          <w:szCs w:val="22"/>
        </w:rPr>
      </w:pPr>
      <w:bookmarkStart w:colFirst="0" w:colLast="0" w:name="_heading=h.l3pnggatessd" w:id="3"/>
      <w:bookmarkEnd w:id="3"/>
      <w:r w:rsidDel="00000000" w:rsidR="00000000" w:rsidRPr="00000000">
        <w:rPr>
          <w:rFonts w:ascii="Garamond" w:cs="Garamond" w:eastAsia="Garamond" w:hAnsi="Garamond"/>
          <w:color w:val="000000"/>
          <w:sz w:val="22"/>
          <w:szCs w:val="22"/>
          <w:rtl w:val="0"/>
        </w:rPr>
        <w:t xml:space="preserve">revenue-based commissions from payment-related or high-risk business lines, proportional to the Adviser’s fully diluted equity stake at the time revenue is generated, subject to the Adviser holding vested equity</w:t>
      </w:r>
    </w:p>
    <w:p w:rsidR="00000000" w:rsidDel="00000000" w:rsidP="00000000" w:rsidRDefault="00000000" w:rsidRPr="00000000" w14:paraId="0000001E">
      <w:pPr>
        <w:numPr>
          <w:ilvl w:val="0"/>
          <w:numId w:val="2"/>
        </w:numPr>
        <w:ind w:left="72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product-level sales commissions based on commercial support provided for specific products or enterprise solutions, where applicable. Commission tiers may be defined by the Company and communicated in writing.</w:t>
      </w:r>
    </w:p>
    <w:p w:rsidR="00000000" w:rsidDel="00000000" w:rsidP="00000000" w:rsidRDefault="00000000" w:rsidRPr="00000000" w14:paraId="0000001F">
      <w:pPr>
        <w:numPr>
          <w:ilvl w:val="0"/>
          <w:numId w:val="2"/>
        </w:numPr>
        <w:ind w:left="720" w:hanging="360"/>
        <w:jc w:val="both"/>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commissions apply only upon the Company’s actual receipt of funds and require that the Adviser holds vested equity at the time of revenue generation.</w:t>
      </w:r>
    </w:p>
    <w:p w:rsidR="00000000" w:rsidDel="00000000" w:rsidP="00000000" w:rsidRDefault="00000000" w:rsidRPr="00000000" w14:paraId="00000020">
      <w:pPr>
        <w:spacing w:after="240" w:befor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6. SAFE Investment</w:t>
      </w:r>
    </w:p>
    <w:p w:rsidR="00000000" w:rsidDel="00000000" w:rsidP="00000000" w:rsidRDefault="00000000" w:rsidRPr="00000000" w14:paraId="00000021">
      <w:pPr>
        <w:spacing w:after="240" w:befor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6.1. The Adviser may invest in the Company via a SAFE instrument at a 50% discount to the valuation applicable in the Company’s Seed Round. The typical investment range is EUR 10,000 to EUR 50,000, though the Company may accept alternative amounts at its discretion.</w:t>
      </w:r>
    </w:p>
    <w:p w:rsidR="00000000" w:rsidDel="00000000" w:rsidP="00000000" w:rsidRDefault="00000000" w:rsidRPr="00000000" w14:paraId="00000022">
      <w:pPr>
        <w:spacing w:after="240" w:before="240" w:lineRule="auto"/>
        <w:jc w:val="both"/>
        <w:rPr>
          <w:rFonts w:ascii="Garamond" w:cs="Garamond" w:eastAsia="Garamond" w:hAnsi="Garamond"/>
          <w:b w:val="1"/>
          <w:bCs w:val="1"/>
          <w:color w:val="000000"/>
          <w:sz w:val="22"/>
          <w:szCs w:val="22"/>
        </w:rPr>
      </w:pPr>
      <w:r w:rsidDel="00000000" w:rsidR="00000000" w:rsidRPr="00000000">
        <w:rPr>
          <w:rFonts w:ascii="Garamond" w:cs="Garamond" w:eastAsia="Garamond" w:hAnsi="Garamond"/>
          <w:sz w:val="22"/>
          <w:szCs w:val="22"/>
          <w:rtl w:val="0"/>
        </w:rPr>
        <w:t xml:space="preserve">6.2. The SAFE converts during the Company’s Seed Round planned for 2026 or any earlier equity financing qualifying as the First Financing Round under the Agreement. The Adviser must meet all applicable securities-law requirements, including accredited or exempt investor status where necessary.</w:t>
      </w:r>
      <w:r w:rsidDel="00000000" w:rsidR="00000000" w:rsidRPr="00000000">
        <w:rPr>
          <w:rtl w:val="0"/>
        </w:rPr>
      </w:r>
    </w:p>
    <w:p w:rsidR="00000000" w:rsidDel="00000000" w:rsidP="00000000" w:rsidRDefault="00000000" w:rsidRPr="00000000" w14:paraId="00000023">
      <w:pPr>
        <w:spacing w:after="240" w:befor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7. Based on deeper involvement or high-impact contributions, the Adviser may be considered for equity allocations in portfolio companies or specific strategic initiatives. Such allocations are discretionary and require separate written approval.</w:t>
      </w:r>
    </w:p>
    <w:p w:rsidR="00000000" w:rsidDel="00000000" w:rsidP="00000000" w:rsidRDefault="00000000" w:rsidRPr="00000000" w14:paraId="00000024">
      <w:pPr>
        <w:pStyle w:val="Heading3"/>
        <w:keepNext w:val="0"/>
        <w:keepLines w:val="0"/>
        <w:spacing w:before="280" w:lineRule="auto"/>
        <w:jc w:val="both"/>
        <w:rPr>
          <w:rFonts w:ascii="Garamond" w:cs="Garamond" w:eastAsia="Garamond" w:hAnsi="Garamond"/>
          <w:color w:val="000000"/>
          <w:sz w:val="22"/>
          <w:szCs w:val="22"/>
        </w:rPr>
      </w:pPr>
      <w:bookmarkStart w:colFirst="0" w:colLast="0" w:name="_heading=h.oct5atxd5pi9" w:id="4"/>
      <w:bookmarkEnd w:id="4"/>
      <w:r w:rsidDel="00000000" w:rsidR="00000000" w:rsidRPr="00000000">
        <w:rPr>
          <w:rFonts w:ascii="Garamond" w:cs="Garamond" w:eastAsia="Garamond" w:hAnsi="Garamond"/>
          <w:color w:val="000000"/>
          <w:sz w:val="22"/>
          <w:szCs w:val="22"/>
          <w:rtl w:val="0"/>
        </w:rPr>
        <w:t xml:space="preserve">8. Summary of Equity Allocation</w:t>
      </w:r>
    </w:p>
    <w:p w:rsidR="00000000" w:rsidDel="00000000" w:rsidP="00000000" w:rsidRDefault="00000000" w:rsidRPr="00000000" w14:paraId="00000025">
      <w:pPr>
        <w:pStyle w:val="Heading3"/>
        <w:keepNext w:val="0"/>
        <w:keepLines w:val="0"/>
        <w:numPr>
          <w:ilvl w:val="0"/>
          <w:numId w:val="5"/>
        </w:numPr>
        <w:spacing w:after="0" w:before="280" w:lineRule="auto"/>
        <w:ind w:left="720" w:hanging="360"/>
        <w:jc w:val="both"/>
        <w:rPr>
          <w:rFonts w:ascii="Garamond" w:cs="Garamond" w:eastAsia="Garamond" w:hAnsi="Garamond"/>
          <w:color w:val="000000"/>
          <w:sz w:val="22"/>
          <w:szCs w:val="22"/>
        </w:rPr>
      </w:pPr>
      <w:bookmarkStart w:colFirst="0" w:colLast="0" w:name="_heading=h.3vbwcgtsxjvw" w:id="5"/>
      <w:bookmarkEnd w:id="5"/>
      <w:r w:rsidDel="00000000" w:rsidR="00000000" w:rsidRPr="00000000">
        <w:rPr>
          <w:rFonts w:ascii="Garamond" w:cs="Garamond" w:eastAsia="Garamond" w:hAnsi="Garamond"/>
          <w:color w:val="000000"/>
          <w:sz w:val="22"/>
          <w:szCs w:val="22"/>
          <w:rtl w:val="0"/>
        </w:rPr>
        <w:t xml:space="preserve">Fixed Equity: 0.5% of Fully Diluted Equity;</w:t>
      </w:r>
    </w:p>
    <w:p w:rsidR="00000000" w:rsidDel="00000000" w:rsidP="00000000" w:rsidRDefault="00000000" w:rsidRPr="00000000" w14:paraId="00000026">
      <w:pPr>
        <w:pStyle w:val="Heading3"/>
        <w:keepNext w:val="0"/>
        <w:keepLines w:val="0"/>
        <w:numPr>
          <w:ilvl w:val="0"/>
          <w:numId w:val="5"/>
        </w:numPr>
        <w:spacing w:after="0" w:before="0" w:lineRule="auto"/>
        <w:ind w:left="720" w:hanging="360"/>
        <w:jc w:val="both"/>
        <w:rPr>
          <w:rFonts w:ascii="Garamond" w:cs="Garamond" w:eastAsia="Garamond" w:hAnsi="Garamond"/>
          <w:color w:val="000000"/>
          <w:sz w:val="22"/>
          <w:szCs w:val="22"/>
        </w:rPr>
      </w:pPr>
      <w:bookmarkStart w:colFirst="0" w:colLast="0" w:name="_heading=h.m9dpwet0njez" w:id="6"/>
      <w:bookmarkEnd w:id="6"/>
      <w:r w:rsidDel="00000000" w:rsidR="00000000" w:rsidRPr="00000000">
        <w:rPr>
          <w:rFonts w:ascii="Garamond" w:cs="Garamond" w:eastAsia="Garamond" w:hAnsi="Garamond"/>
          <w:color w:val="000000"/>
          <w:sz w:val="22"/>
          <w:szCs w:val="22"/>
          <w:rtl w:val="0"/>
        </w:rPr>
        <w:t xml:space="preserve">Performance-Based Equity: up to 2.0% of Fully Diluted Equity;</w:t>
      </w:r>
    </w:p>
    <w:p w:rsidR="00000000" w:rsidDel="00000000" w:rsidP="00000000" w:rsidRDefault="00000000" w:rsidRPr="00000000" w14:paraId="00000027">
      <w:pPr>
        <w:pStyle w:val="Heading3"/>
        <w:keepNext w:val="0"/>
        <w:keepLines w:val="0"/>
        <w:numPr>
          <w:ilvl w:val="0"/>
          <w:numId w:val="5"/>
        </w:numPr>
        <w:spacing w:before="0" w:lineRule="auto"/>
        <w:ind w:left="720" w:hanging="360"/>
        <w:jc w:val="both"/>
        <w:rPr>
          <w:rFonts w:ascii="Garamond" w:cs="Garamond" w:eastAsia="Garamond" w:hAnsi="Garamond"/>
          <w:color w:val="000000"/>
          <w:sz w:val="22"/>
          <w:szCs w:val="22"/>
        </w:rPr>
      </w:pPr>
      <w:bookmarkStart w:colFirst="0" w:colLast="0" w:name="_heading=h.ujwct2dfty0b" w:id="7"/>
      <w:bookmarkEnd w:id="7"/>
      <w:r w:rsidDel="00000000" w:rsidR="00000000" w:rsidRPr="00000000">
        <w:rPr>
          <w:rFonts w:ascii="Garamond" w:cs="Garamond" w:eastAsia="Garamond" w:hAnsi="Garamond"/>
          <w:color w:val="000000"/>
          <w:sz w:val="22"/>
          <w:szCs w:val="22"/>
          <w:rtl w:val="0"/>
        </w:rPr>
        <w:t xml:space="preserve">Form of issuance: SAFE or equivalent instrument under the Agreement</w:t>
      </w:r>
    </w:p>
    <w:p w:rsidR="00000000" w:rsidDel="00000000" w:rsidP="00000000" w:rsidRDefault="00000000" w:rsidRPr="00000000" w14:paraId="00000028">
      <w:pPr>
        <w:spacing w:after="200" w:before="200" w:lineRule="auto"/>
        <w:jc w:val="left"/>
        <w:rPr>
          <w:rFonts w:ascii="Garamond" w:cs="Garamond" w:eastAsia="Garamond" w:hAnsi="Garamond"/>
          <w:sz w:val="22"/>
          <w:szCs w:val="22"/>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9.923664122137"/>
        <w:gridCol w:w="500.1526717557252"/>
        <w:gridCol w:w="4429.923664122137"/>
        <w:tblGridChange w:id="0">
          <w:tblGrid>
            <w:gridCol w:w="4429.923664122137"/>
            <w:gridCol w:w="500.1526717557252"/>
            <w:gridCol w:w="4429.923664122137"/>
          </w:tblGrid>
        </w:tblGridChange>
      </w:tblGrid>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0.0" w:type="dxa"/>
              <w:left w:w="240.0" w:type="dxa"/>
              <w:bottom w:w="0.0" w:type="dxa"/>
              <w:right w:w="240.0" w:type="dxa"/>
            </w:tcMar>
            <w:vAlign w:val="top"/>
          </w:tcPr>
          <w:p w:rsidR="00000000" w:rsidDel="00000000" w:rsidP="00000000" w:rsidRDefault="00000000" w:rsidRPr="00000000" w14:paraId="00000029">
            <w:pPr>
              <w:spacing w:after="200" w:before="200" w:lineRule="auto"/>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Protocol Spring Inc.</w:t>
            </w:r>
          </w:p>
          <w:p w:rsidR="00000000" w:rsidDel="00000000" w:rsidP="00000000" w:rsidRDefault="00000000" w:rsidRPr="00000000" w14:paraId="0000002A">
            <w:pPr>
              <w:spacing w:after="200" w:before="2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as the Company   </w:t>
            </w:r>
          </w:p>
          <w:p w:rsidR="00000000" w:rsidDel="00000000" w:rsidP="00000000" w:rsidRDefault="00000000" w:rsidRPr="00000000" w14:paraId="0000002B">
            <w:pPr>
              <w:spacing w:after="200" w:before="2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02C">
            <w:pPr>
              <w:spacing w:after="200" w:before="2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______________________________                </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240.0" w:type="dxa"/>
            </w:tcMar>
            <w:vAlign w:val="top"/>
          </w:tcPr>
          <w:p w:rsidR="00000000" w:rsidDel="00000000" w:rsidP="00000000" w:rsidRDefault="00000000" w:rsidRPr="00000000" w14:paraId="0000002D">
            <w:pPr>
              <w:spacing w:after="200" w:before="2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240.0" w:type="dxa"/>
            </w:tcMar>
            <w:vAlign w:val="top"/>
          </w:tcPr>
          <w:p w:rsidR="00000000" w:rsidDel="00000000" w:rsidP="00000000" w:rsidRDefault="00000000" w:rsidRPr="00000000" w14:paraId="0000002E">
            <w:pPr>
              <w:spacing w:after="200" w:before="200" w:lineRule="auto"/>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Adam Jenkins</w:t>
            </w:r>
          </w:p>
          <w:p w:rsidR="00000000" w:rsidDel="00000000" w:rsidP="00000000" w:rsidRDefault="00000000" w:rsidRPr="00000000" w14:paraId="0000002F">
            <w:pPr>
              <w:spacing w:after="200" w:before="200" w:lineRule="auto"/>
              <w:jc w:val="both"/>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as the Advisory</w:t>
            </w:r>
          </w:p>
          <w:p w:rsidR="00000000" w:rsidDel="00000000" w:rsidP="00000000" w:rsidRDefault="00000000" w:rsidRPr="00000000" w14:paraId="00000030">
            <w:pPr>
              <w:spacing w:after="200" w:before="200" w:lineRule="auto"/>
              <w:jc w:val="both"/>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 </w:t>
            </w:r>
          </w:p>
          <w:p w:rsidR="00000000" w:rsidDel="00000000" w:rsidP="00000000" w:rsidRDefault="00000000" w:rsidRPr="00000000" w14:paraId="00000031">
            <w:pPr>
              <w:spacing w:after="200" w:before="2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______________________________                </w:t>
            </w:r>
          </w:p>
        </w:tc>
      </w:tr>
      <w:tr>
        <w:trPr>
          <w:cantSplit w:val="0"/>
          <w:trHeight w:val="1470" w:hRule="atLeast"/>
          <w:tblHeader w:val="0"/>
        </w:trPr>
        <w:tc>
          <w:tcPr>
            <w:tcBorders>
              <w:top w:color="000000" w:space="0" w:sz="0" w:val="nil"/>
              <w:left w:color="000000" w:space="0" w:sz="0" w:val="nil"/>
              <w:bottom w:color="000000" w:space="0" w:sz="0" w:val="nil"/>
              <w:right w:color="000000" w:space="0" w:sz="0" w:val="nil"/>
            </w:tcBorders>
            <w:tcMar>
              <w:top w:w="0.0" w:type="dxa"/>
              <w:left w:w="240.0" w:type="dxa"/>
              <w:bottom w:w="0.0" w:type="dxa"/>
              <w:right w:w="240.0" w:type="dxa"/>
            </w:tcMar>
            <w:vAlign w:val="top"/>
          </w:tcPr>
          <w:p w:rsidR="00000000" w:rsidDel="00000000" w:rsidP="00000000" w:rsidRDefault="00000000" w:rsidRPr="00000000" w14:paraId="00000032">
            <w:pPr>
              <w:spacing w:after="200" w:before="200" w:lineRule="auto"/>
              <w:ind w:right="-8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Name: Adam Larsson</w:t>
            </w:r>
          </w:p>
          <w:p w:rsidR="00000000" w:rsidDel="00000000" w:rsidP="00000000" w:rsidRDefault="00000000" w:rsidRPr="00000000" w14:paraId="00000033">
            <w:pPr>
              <w:spacing w:after="200" w:before="200" w:lineRule="auto"/>
              <w:ind w:left="0" w:right="-80"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Title: Founder and President</w:t>
            </w:r>
          </w:p>
          <w:p w:rsidR="00000000" w:rsidDel="00000000" w:rsidP="00000000" w:rsidRDefault="00000000" w:rsidRPr="00000000" w14:paraId="00000034">
            <w:pPr>
              <w:spacing w:after="200" w:before="200" w:lineRule="auto"/>
              <w:ind w:left="-100" w:right="-80"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Date:</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240.0" w:type="dxa"/>
            </w:tcMar>
            <w:vAlign w:val="top"/>
          </w:tcPr>
          <w:p w:rsidR="00000000" w:rsidDel="00000000" w:rsidP="00000000" w:rsidRDefault="00000000" w:rsidRPr="00000000" w14:paraId="00000035">
            <w:pPr>
              <w:spacing w:after="200" w:before="20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240.0" w:type="dxa"/>
            </w:tcMar>
            <w:vAlign w:val="top"/>
          </w:tcPr>
          <w:p w:rsidR="00000000" w:rsidDel="00000000" w:rsidP="00000000" w:rsidRDefault="00000000" w:rsidRPr="00000000" w14:paraId="00000036">
            <w:pPr>
              <w:spacing w:after="200" w:before="200" w:lineRule="auto"/>
              <w:ind w:right="-8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Name: Adam Jenkins</w:t>
            </w:r>
          </w:p>
          <w:p w:rsidR="00000000" w:rsidDel="00000000" w:rsidP="00000000" w:rsidRDefault="00000000" w:rsidRPr="00000000" w14:paraId="00000037">
            <w:pPr>
              <w:spacing w:after="200" w:before="200" w:lineRule="auto"/>
              <w:ind w:right="-8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38">
            <w:pPr>
              <w:spacing w:after="200" w:before="200" w:lineRule="auto"/>
              <w:ind w:right="-8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Date:</w:t>
            </w:r>
          </w:p>
        </w:tc>
      </w:tr>
    </w:tbl>
    <w:p w:rsidR="00000000" w:rsidDel="00000000" w:rsidP="00000000" w:rsidRDefault="00000000" w:rsidRPr="00000000" w14:paraId="00000039">
      <w:pPr>
        <w:spacing w:after="200" w:before="200" w:lineRule="auto"/>
        <w:jc w:val="both"/>
        <w:rPr>
          <w:rFonts w:ascii="Garamond" w:cs="Garamond" w:eastAsia="Garamond" w:hAnsi="Garamond"/>
          <w:sz w:val="22"/>
          <w:szCs w:val="22"/>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ind w:left="4320" w:firstLine="0"/>
      <w:rPr>
        <w:rFonts w:ascii="Garamond" w:cs="Garamond" w:eastAsia="Garamond" w:hAnsi="Garamond"/>
        <w:sz w:val="22"/>
        <w:szCs w:val="22"/>
      </w:rPr>
    </w:pPr>
    <w:r w:rsidDel="00000000" w:rsidR="00000000" w:rsidRPr="00000000">
      <w:rPr>
        <w:rtl w:val="0"/>
      </w:rPr>
      <w:tab/>
      <w:tab/>
      <w:tab/>
      <w:tab/>
      <w:tab/>
      <w:tab/>
      <w:tab/>
      <w:tab/>
      <w:tab/>
      <w:tab/>
      <w:tab/>
      <w:tab/>
      <w:tab/>
    </w:r>
    <w:r w:rsidDel="00000000" w:rsidR="00000000" w:rsidRPr="00000000">
      <w:rPr>
        <w:rFonts w:ascii="Garamond" w:cs="Garamond" w:eastAsia="Garamond" w:hAnsi="Garamond"/>
        <w:sz w:val="22"/>
        <w:szCs w:val="22"/>
        <w:rtl w:val="0"/>
      </w:rPr>
      <w:t xml:space="preserve">       </w:t>
    </w:r>
    <w:r w:rsidDel="00000000" w:rsidR="00000000" w:rsidRPr="00000000">
      <w:rPr>
        <w:rFonts w:ascii="Garamond" w:cs="Garamond" w:eastAsia="Garamond" w:hAnsi="Garamond"/>
        <w:sz w:val="22"/>
        <w:szCs w:val="22"/>
      </w:rPr>
      <w:fldChar w:fldCharType="begin"/>
      <w:instrText xml:space="preserve">PAGE</w:instrText>
      <w:fldChar w:fldCharType="separate"/>
      <w:fldChar w:fldCharType="end"/>
    </w:r>
    <w:r w:rsidDel="00000000" w:rsidR="00000000" w:rsidRPr="00000000">
      <w:rPr>
        <w:rFonts w:ascii="Garamond" w:cs="Garamond" w:eastAsia="Garamond" w:hAnsi="Garamond"/>
        <w:sz w:val="22"/>
        <w:szCs w:val="22"/>
        <w:rtl w:val="0"/>
      </w:rPr>
      <w:t xml:space="preserve">/3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spacing w:after="160" w:line="278.00000000000006" w:lineRule="auto"/>
      <w:rPr/>
    </w:pPr>
    <w:r w:rsidDel="00000000" w:rsidR="00000000" w:rsidRPr="00000000">
      <w:rPr/>
      <w:drawing>
        <wp:inline distB="114300" distT="114300" distL="114300" distR="114300">
          <wp:extent cx="1052513" cy="331946"/>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2513" cy="33194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4862303</wp:posOffset>
          </wp:positionH>
          <wp:positionV relativeFrom="paragraph">
            <wp:posOffset>57154</wp:posOffset>
          </wp:positionV>
          <wp:extent cx="1062246" cy="133826"/>
          <wp:effectExtent b="0" l="0" r="0" t="0"/>
          <wp:wrapNone/>
          <wp:docPr id="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62246" cy="133826"/>
                  </a:xfrm>
                  <a:prstGeom prst="rect"/>
                  <a:ln/>
                </pic:spPr>
              </pic:pic>
            </a:graphicData>
          </a:graphic>
        </wp:anchor>
      </w:drawing>
    </w:r>
  </w:p>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2"/>
      <w:numFmt w:val="bullet"/>
      <w:lvlText w:val="-"/>
      <w:lvlJc w:val="left"/>
      <w:pPr>
        <w:ind w:left="720" w:hanging="360"/>
      </w:pPr>
      <w:rPr>
        <w:rFonts w:ascii="Garamond" w:cs="Garamond" w:eastAsia="Garamond" w:hAnsi="Garamond"/>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CL"/>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465E3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65E3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65E3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65E3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465E3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465E3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65E3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65E3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65E3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65E3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65E3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65E3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65E3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65E3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65E3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65E3A"/>
    <w:rPr>
      <w:i w:val="1"/>
      <w:iCs w:val="1"/>
      <w:color w:val="404040" w:themeColor="text1" w:themeTint="0000BF"/>
    </w:rPr>
  </w:style>
  <w:style w:type="paragraph" w:styleId="ListParagraph">
    <w:name w:val="List Paragraph"/>
    <w:basedOn w:val="Normal"/>
    <w:uiPriority w:val="34"/>
    <w:qFormat w:val="1"/>
    <w:rsid w:val="00465E3A"/>
    <w:pPr>
      <w:ind w:left="720"/>
      <w:contextualSpacing w:val="1"/>
    </w:pPr>
  </w:style>
  <w:style w:type="character" w:styleId="IntenseEmphasis">
    <w:name w:val="Intense Emphasis"/>
    <w:basedOn w:val="DefaultParagraphFont"/>
    <w:uiPriority w:val="21"/>
    <w:qFormat w:val="1"/>
    <w:rsid w:val="00465E3A"/>
    <w:rPr>
      <w:i w:val="1"/>
      <w:iCs w:val="1"/>
      <w:color w:val="0f4761" w:themeColor="accent1" w:themeShade="0000BF"/>
    </w:rPr>
  </w:style>
  <w:style w:type="paragraph" w:styleId="IntenseQuote">
    <w:name w:val="Intense Quote"/>
    <w:basedOn w:val="Normal"/>
    <w:next w:val="Normal"/>
    <w:link w:val="IntenseQuoteChar"/>
    <w:uiPriority w:val="30"/>
    <w:qFormat w:val="1"/>
    <w:rsid w:val="00465E3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65E3A"/>
    <w:rPr>
      <w:i w:val="1"/>
      <w:iCs w:val="1"/>
      <w:color w:val="0f4761" w:themeColor="accent1" w:themeShade="0000BF"/>
    </w:rPr>
  </w:style>
  <w:style w:type="character" w:styleId="IntenseReference">
    <w:name w:val="Intense Reference"/>
    <w:basedOn w:val="DefaultParagraphFont"/>
    <w:uiPriority w:val="32"/>
    <w:qFormat w:val="1"/>
    <w:rsid w:val="00465E3A"/>
    <w:rPr>
      <w:b w:val="1"/>
      <w:bCs w:val="1"/>
      <w:smallCaps w:val="1"/>
      <w:color w:val="0f4761" w:themeColor="accent1" w:themeShade="0000BF"/>
      <w:spacing w:val="5"/>
    </w:rPr>
  </w:style>
  <w:style w:type="paragraph" w:styleId="FirstParagraph" w:customStyle="1">
    <w:name w:val="First Paragraph"/>
    <w:basedOn w:val="BodyText"/>
    <w:next w:val="BodyText"/>
    <w:qFormat w:val="1"/>
    <w:rsid w:val="00465E3A"/>
    <w:pPr>
      <w:spacing w:after="180" w:before="180"/>
    </w:pPr>
  </w:style>
  <w:style w:type="paragraph" w:styleId="Compact" w:customStyle="1">
    <w:name w:val="Compact"/>
    <w:basedOn w:val="BodyText"/>
    <w:qFormat w:val="1"/>
    <w:rsid w:val="00465E3A"/>
    <w:pPr>
      <w:spacing w:after="36" w:before="36"/>
    </w:pPr>
  </w:style>
  <w:style w:type="paragraph" w:styleId="BodyText">
    <w:name w:val="Body Text"/>
    <w:basedOn w:val="Normal"/>
    <w:link w:val="BodyTextChar"/>
    <w:uiPriority w:val="99"/>
    <w:semiHidden w:val="1"/>
    <w:unhideWhenUsed w:val="1"/>
    <w:rsid w:val="00465E3A"/>
    <w:pPr>
      <w:spacing w:after="120"/>
    </w:pPr>
  </w:style>
  <w:style w:type="character" w:styleId="BodyTextChar" w:customStyle="1">
    <w:name w:val="Body Text Char"/>
    <w:basedOn w:val="DefaultParagraphFont"/>
    <w:link w:val="BodyText"/>
    <w:uiPriority w:val="99"/>
    <w:semiHidden w:val="1"/>
    <w:rsid w:val="00465E3A"/>
    <w:rPr>
      <w:kern w:val="0"/>
      <w:lang w:val="en-US"/>
    </w:rPr>
  </w:style>
  <w:style w:type="paragraph" w:styleId="NormalWeb">
    <w:name w:val="Normal (Web)"/>
    <w:basedOn w:val="Normal"/>
    <w:uiPriority w:val="99"/>
    <w:unhideWhenUsed w:val="1"/>
    <w:rsid w:val="00513DF7"/>
    <w:pPr>
      <w:spacing w:after="100" w:afterAutospacing="1" w:before="100" w:beforeAutospacing="1"/>
    </w:pPr>
    <w:rPr>
      <w:rFonts w:ascii="Times New Roman" w:cs="Times New Roman" w:eastAsia="Times New Roman" w:hAnsi="Times New Roman"/>
      <w:lang w:val="en-CL"/>
    </w:rPr>
  </w:style>
  <w:style w:type="character" w:styleId="Strong">
    <w:name w:val="Strong"/>
    <w:basedOn w:val="DefaultParagraphFont"/>
    <w:uiPriority w:val="22"/>
    <w:qFormat w:val="1"/>
    <w:rsid w:val="00513DF7"/>
    <w:rPr>
      <w:b w:val="1"/>
      <w:bCs w:val="1"/>
    </w:rPr>
  </w:style>
  <w:style w:type="table" w:styleId="Table1">
    <w:basedOn w:val="TableNormal"/>
    <w:tblPr>
      <w:tblStyleRowBandSize w:val="1"/>
      <w:tblStyleColBandSize w:val="1"/>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OimMxvYJoXQwMIJSgYOqcQq73g==">CgMxLjAyDmguMnN2emdpamR4cXF6Mg5oLnduYjQ5anJhNXdwejIOaC5hMDVrOG92dTYxNXIyDmgubDNwbmdnYXRlc3NkMg5oLm9jdDVhdHhkNXBpOTIOaC4zdmJ3Y2d0c3hqdncyDmgubTlkcHdldDBuamV6Mg5oLnVqd2N0MmRmdHkwYjgAciExMmswS0lNZnBra2dtWUZYZFc2MmpqT3Zsbk9HcE02c18=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2025-11-19T23:58:00Z</dcterms:created>
  <dc:creator>Magdalena Królikowska</dc:creator>
</cp:coreProperties>
</file>