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r w:rsidR="00A050B9">
        <w:rPr>
          <w:rFonts w:asciiTheme="majorHAnsi" w:hAnsiTheme="majorHAnsi"/>
          <w:b/>
          <w:color w:val="244061" w:themeColor="accent1" w:themeShade="80"/>
          <w:sz w:val="30"/>
          <w:szCs w:val="30"/>
        </w:rPr>
        <w:t>0</w:t>
      </w: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228BCB95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F060F2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 w:rsidRPr="00F060F2">
        <w:rPr>
          <w:b/>
          <w:bCs/>
          <w:color w:val="244061" w:themeColor="accent1" w:themeShade="80"/>
          <w:sz w:val="30"/>
          <w:szCs w:val="30"/>
        </w:rPr>
        <w:t xml:space="preserve"> in </w:t>
      </w:r>
      <w:r w:rsidR="006E0427" w:rsidRPr="00FD73CD">
        <w:rPr>
          <w:b/>
          <w:bCs/>
          <w:color w:val="244061" w:themeColor="accent1" w:themeShade="80"/>
          <w:sz w:val="30"/>
          <w:szCs w:val="30"/>
        </w:rPr>
        <w:t>White-Gravenor 206</w:t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8D6176" w:rsidP="39CFC2B6">
            <w:pPr>
              <w:rPr>
                <w:szCs w:val="24"/>
              </w:rPr>
            </w:pPr>
            <w:hyperlink r:id="rId10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F186E4" wp14:editId="6B4B6CF0">
                  <wp:extent cx="1035050" cy="103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7DF5541F" w14:textId="7F02B566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6453E" w:rsidRDefault="4068A7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6453E">
              <w:rPr>
                <w:rFonts w:asciiTheme="majorHAnsi" w:hAnsiTheme="majorHAnsi"/>
                <w:b/>
                <w:bCs/>
              </w:rPr>
              <w:t>Email:</w:t>
            </w:r>
          </w:p>
          <w:p w14:paraId="46DAEC7D" w14:textId="77777777" w:rsidR="39CFC2B6" w:rsidRPr="00D6453E" w:rsidRDefault="39CFC2B6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E705787" w14:textId="77777777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5778D3E" w14:textId="36DACC6E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6530AAB1" w14:textId="47F7B33A" w:rsidR="00723575" w:rsidRPr="00D6453E" w:rsidRDefault="005959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6453E" w:rsidRDefault="00A520FA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6453E" w:rsidRDefault="00DE57A4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6453E">
              <w:rPr>
                <w:rFonts w:asciiTheme="majorHAnsi" w:hAnsiTheme="majorHAnsi"/>
              </w:rPr>
              <w:tab/>
            </w:r>
          </w:p>
          <w:p w14:paraId="696D0192" w14:textId="59443EDE" w:rsidR="00D35BBD" w:rsidRDefault="008D6176" w:rsidP="39CFC2B6">
            <w:pPr>
              <w:rPr>
                <w:rFonts w:asciiTheme="majorHAnsi" w:hAnsiTheme="majorHAnsi"/>
                <w:szCs w:val="24"/>
              </w:rPr>
            </w:pPr>
            <w:hyperlink r:id="rId12" w:history="1">
              <w:r w:rsidR="00D35BBD" w:rsidRPr="00D6453E">
                <w:rPr>
                  <w:rStyle w:val="Hyperlink"/>
                  <w:rFonts w:asciiTheme="majorHAnsi" w:hAnsiTheme="majorHAnsi"/>
                </w:rPr>
                <w:t>adam.theising@georgetown.edu</w:t>
              </w:r>
            </w:hyperlink>
          </w:p>
          <w:p w14:paraId="6E630060" w14:textId="6066F90B" w:rsidR="00D35BBD" w:rsidRPr="00D6453E" w:rsidRDefault="00D35BBD" w:rsidP="39CFC2B6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6E1F0CA3" w14:textId="249A1EC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Assistant: </w:t>
      </w:r>
      <w:r w:rsidR="00203C81">
        <w:rPr>
          <w:szCs w:val="24"/>
        </w:rPr>
        <w:tab/>
      </w:r>
      <w:proofErr w:type="spellStart"/>
      <w:r w:rsidR="00F52E96" w:rsidRPr="00203C81">
        <w:rPr>
          <w:rFonts w:asciiTheme="majorHAnsi" w:hAnsiTheme="majorHAnsi"/>
        </w:rPr>
        <w:t>Yagmur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hyperlink r:id="rId13" w:history="1">
        <w:r w:rsidR="00F060F2" w:rsidRPr="00136BC1">
          <w:rPr>
            <w:rStyle w:val="Hyperlink"/>
            <w:rFonts w:asciiTheme="majorHAnsi" w:hAnsiTheme="majorHAnsi"/>
          </w:rPr>
          <w:t>ym406@georgetown.edu</w:t>
        </w:r>
      </w:hyperlink>
    </w:p>
    <w:p w14:paraId="3F814E4A" w14:textId="6515643D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0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00B37226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0EA04821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</w:t>
      </w:r>
      <w:r w:rsidR="00F060F2">
        <w:rPr>
          <w:rFonts w:asciiTheme="majorHAnsi" w:hAnsiTheme="majorHAnsi"/>
          <w:szCs w:val="24"/>
        </w:rPr>
        <w:t>&lt;$10</w:t>
      </w:r>
      <w:r w:rsidRPr="00FB67B2">
        <w:rPr>
          <w:rFonts w:asciiTheme="majorHAnsi" w:hAnsiTheme="majorHAnsi"/>
          <w:szCs w:val="24"/>
        </w:rPr>
        <w:t xml:space="preserve"> – </w:t>
      </w:r>
      <w:hyperlink r:id="rId14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52CC600F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092D10">
        <w:rPr>
          <w:rFonts w:asciiTheme="majorHAnsi" w:hAnsiTheme="majorHAnsi"/>
          <w:szCs w:val="24"/>
        </w:rPr>
        <w:t xml:space="preserve"> </w:t>
      </w:r>
      <w:r w:rsidR="007372CD" w:rsidRPr="00FB67B2">
        <w:rPr>
          <w:rFonts w:asciiTheme="majorHAnsi" w:hAnsiTheme="majorHAnsi"/>
          <w:szCs w:val="24"/>
        </w:rPr>
        <w:t>(</w:t>
      </w:r>
      <w:hyperlink r:id="rId15" w:history="1">
        <w:r w:rsidR="00092D10" w:rsidRPr="00092D10">
          <w:rPr>
            <w:rStyle w:val="Hyperlink"/>
            <w:rFonts w:asciiTheme="majorHAnsi" w:hAnsiTheme="majorHAnsi"/>
            <w:szCs w:val="24"/>
          </w:rPr>
          <w:t>https://github.com/adamtheising/environmental_economics</w:t>
        </w:r>
      </w:hyperlink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>podcasts, homework assignments</w:t>
      </w:r>
      <w:r w:rsidR="00092D10">
        <w:rPr>
          <w:rFonts w:asciiTheme="majorHAnsi" w:hAnsiTheme="majorHAnsi"/>
          <w:szCs w:val="24"/>
        </w:rPr>
        <w:t>. G</w:t>
      </w:r>
      <w:r w:rsidR="00173344" w:rsidRPr="00FB67B2">
        <w:rPr>
          <w:rFonts w:asciiTheme="majorHAnsi" w:hAnsiTheme="majorHAnsi"/>
          <w:szCs w:val="24"/>
        </w:rPr>
        <w:t>rades</w:t>
      </w:r>
      <w:r w:rsidR="00092D10">
        <w:rPr>
          <w:rFonts w:asciiTheme="majorHAnsi" w:hAnsiTheme="majorHAnsi"/>
          <w:szCs w:val="24"/>
        </w:rPr>
        <w:t xml:space="preserve"> will be posted to Canvas</w:t>
      </w:r>
      <w:r w:rsidR="00173344" w:rsidRPr="00FB67B2">
        <w:rPr>
          <w:rFonts w:asciiTheme="majorHAnsi" w:hAnsiTheme="majorHAnsi"/>
          <w:szCs w:val="24"/>
        </w:rPr>
        <w:t xml:space="preserve">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8D6176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8D6176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8D6176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8D6176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50998793" w14:textId="2D92081C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35FBD61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r w:rsidR="00053D34">
        <w:rPr>
          <w:rFonts w:asciiTheme="majorHAnsi" w:hAnsiTheme="majorHAnsi"/>
          <w:szCs w:val="24"/>
        </w:rPr>
        <w:t>based on three</w:t>
      </w:r>
      <w:r w:rsidR="00053D34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>part</w:t>
      </w:r>
      <w:r w:rsidR="00053D34">
        <w:rPr>
          <w:rFonts w:asciiTheme="majorHAnsi" w:hAnsiTheme="majorHAnsi"/>
          <w:szCs w:val="24"/>
        </w:rPr>
        <w:t>s of the course</w:t>
      </w:r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1950B10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872F48">
        <w:rPr>
          <w:rFonts w:asciiTheme="majorHAnsi" w:hAnsiTheme="majorHAnsi"/>
          <w:szCs w:val="24"/>
        </w:rPr>
        <w:t xml:space="preserve">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30</w:t>
      </w:r>
      <w:r w:rsidR="008A2A62" w:rsidRPr="00FB67B2">
        <w:rPr>
          <w:rFonts w:asciiTheme="majorHAnsi" w:hAnsiTheme="majorHAnsi"/>
          <w:szCs w:val="24"/>
        </w:rPr>
        <w:t>%</w:t>
      </w:r>
      <w:r w:rsidR="00872F48">
        <w:rPr>
          <w:rFonts w:asciiTheme="majorHAnsi" w:hAnsiTheme="majorHAnsi"/>
          <w:szCs w:val="24"/>
        </w:rPr>
        <w:t xml:space="preserve"> </w:t>
      </w:r>
    </w:p>
    <w:p w14:paraId="510D7D40" w14:textId="7E8A6F52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ab/>
        <w:t>3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</w:p>
    <w:p w14:paraId="01868043" w14:textId="1FDD9F0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76DFDCD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 (</w:t>
      </w:r>
      <w:r w:rsidR="00872F48">
        <w:rPr>
          <w:rFonts w:asciiTheme="majorHAnsi" w:hAnsiTheme="majorHAnsi"/>
          <w:szCs w:val="24"/>
        </w:rPr>
        <w:t>90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100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37C317E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r w:rsidR="00872F48">
        <w:rPr>
          <w:rFonts w:asciiTheme="majorHAnsi" w:hAnsiTheme="majorHAnsi"/>
          <w:szCs w:val="24"/>
        </w:rPr>
        <w:t>80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r w:rsidR="00872F48">
        <w:rPr>
          <w:rFonts w:asciiTheme="majorHAnsi" w:hAnsiTheme="majorHAnsi"/>
          <w:szCs w:val="24"/>
        </w:rPr>
        <w:t>77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5A42996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76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r w:rsidR="00872F48">
        <w:rPr>
          <w:rFonts w:asciiTheme="majorHAnsi" w:hAnsiTheme="majorHAnsi"/>
          <w:szCs w:val="24"/>
        </w:rPr>
        <w:t>70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2C499524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r w:rsidR="00872F48">
        <w:rPr>
          <w:rFonts w:asciiTheme="majorHAnsi" w:hAnsiTheme="majorHAnsi"/>
          <w:szCs w:val="24"/>
        </w:rPr>
        <w:t>61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r w:rsidR="00872F48">
        <w:rPr>
          <w:rFonts w:asciiTheme="majorHAnsi" w:hAnsiTheme="majorHAnsi"/>
          <w:szCs w:val="24"/>
        </w:rPr>
        <w:t>60</w:t>
      </w:r>
      <w:r w:rsidRPr="00FB67B2">
        <w:rPr>
          <w:rFonts w:asciiTheme="majorHAnsi" w:hAnsiTheme="majorHAnsi"/>
          <w:szCs w:val="24"/>
        </w:rPr>
        <w:t>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5739B839" w14:textId="70E4FE68" w:rsidR="005B70CD" w:rsidRPr="000A7EB3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2CD35210" w14:textId="77777777" w:rsidR="000A7EB3" w:rsidRDefault="000A7EB3" w:rsidP="000A7EB3">
      <w:pPr>
        <w:tabs>
          <w:tab w:val="left" w:pos="2160"/>
        </w:tabs>
        <w:spacing w:before="120" w:after="120" w:line="276" w:lineRule="auto"/>
        <w:ind w:left="288"/>
        <w:contextualSpacing/>
        <w:rPr>
          <w:rFonts w:asciiTheme="majorHAnsi" w:hAnsiTheme="majorHAnsi"/>
          <w:b/>
          <w:bCs/>
          <w:sz w:val="22"/>
          <w:szCs w:val="22"/>
        </w:rPr>
      </w:pPr>
    </w:p>
    <w:p w14:paraId="20AA0B83" w14:textId="143E15B4" w:rsidR="005B70CD" w:rsidRPr="00982FF6" w:rsidRDefault="4DEF293E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00982FF6">
        <w:rPr>
          <w:rFonts w:asciiTheme="majorHAnsi" w:hAnsiTheme="majorHAnsi"/>
          <w:sz w:val="22"/>
          <w:szCs w:val="22"/>
        </w:rPr>
        <w:t xml:space="preserve"> These are to be completed </w:t>
      </w:r>
      <w:r w:rsidRPr="00982FF6">
        <w:rPr>
          <w:rFonts w:asciiTheme="majorHAnsi" w:hAnsiTheme="majorHAnsi"/>
          <w:i/>
          <w:iCs/>
          <w:sz w:val="22"/>
          <w:szCs w:val="22"/>
        </w:rPr>
        <w:t>before</w:t>
      </w:r>
      <w:r w:rsidRPr="00982FF6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00982FF6">
        <w:rPr>
          <w:rFonts w:asciiTheme="majorHAnsi" w:hAnsiTheme="majorHAnsi"/>
          <w:sz w:val="22"/>
          <w:szCs w:val="22"/>
        </w:rPr>
        <w:t>2</w:t>
      </w:r>
      <w:r w:rsidRPr="00982FF6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 w:rsidRPr="00982FF6">
        <w:rPr>
          <w:rFonts w:asciiTheme="majorHAnsi" w:hAnsiTheme="majorHAnsi"/>
          <w:sz w:val="22"/>
          <w:szCs w:val="22"/>
        </w:rPr>
        <w:t>8</w:t>
      </w:r>
      <w:r w:rsidRPr="00982FF6">
        <w:rPr>
          <w:rFonts w:asciiTheme="majorHAnsi" w:hAnsiTheme="majorHAnsi"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sz w:val="22"/>
          <w:szCs w:val="22"/>
        </w:rPr>
        <w:t>.</w:t>
      </w:r>
    </w:p>
    <w:p w14:paraId="134F18E4" w14:textId="24BAE650" w:rsidR="00B8796F" w:rsidRPr="00982FF6" w:rsidRDefault="005B70CD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Homework:</w:t>
      </w:r>
      <w:r w:rsidRPr="00982FF6">
        <w:rPr>
          <w:rFonts w:asciiTheme="majorHAnsi" w:hAnsiTheme="majorHAnsi"/>
          <w:sz w:val="22"/>
          <w:szCs w:val="22"/>
        </w:rPr>
        <w:t xml:space="preserve"> </w:t>
      </w:r>
      <w:r w:rsidR="000A7EB3" w:rsidRPr="00982FF6">
        <w:rPr>
          <w:rFonts w:asciiTheme="majorHAnsi" w:hAnsiTheme="majorHAnsi"/>
          <w:sz w:val="22"/>
          <w:szCs w:val="22"/>
        </w:rPr>
        <w:t>Most</w:t>
      </w:r>
      <w:r w:rsidRPr="00982FF6">
        <w:rPr>
          <w:rFonts w:asciiTheme="majorHAnsi" w:hAnsiTheme="majorHAnsi"/>
          <w:sz w:val="22"/>
          <w:szCs w:val="22"/>
        </w:rPr>
        <w:t xml:space="preserve"> homework assignments are due </w:t>
      </w:r>
      <w:r w:rsidR="00E230AF" w:rsidRPr="00982FF6">
        <w:rPr>
          <w:rFonts w:asciiTheme="majorHAnsi" w:hAnsiTheme="majorHAnsi"/>
          <w:sz w:val="22"/>
          <w:szCs w:val="22"/>
        </w:rPr>
        <w:t xml:space="preserve">by </w:t>
      </w:r>
      <w:r w:rsidR="00AB66A7" w:rsidRPr="00982FF6">
        <w:rPr>
          <w:rFonts w:asciiTheme="majorHAnsi" w:hAnsiTheme="majorHAnsi"/>
          <w:sz w:val="22"/>
          <w:szCs w:val="22"/>
        </w:rPr>
        <w:t>Sunday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>at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4608B4" w:rsidRPr="00982FF6">
        <w:rPr>
          <w:rFonts w:asciiTheme="majorHAnsi" w:hAnsiTheme="majorHAnsi"/>
          <w:sz w:val="22"/>
          <w:szCs w:val="22"/>
        </w:rPr>
        <w:t>11:59pm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 xml:space="preserve">the week after </w:t>
      </w:r>
      <w:r w:rsidR="00ED28DF" w:rsidRPr="00982FF6">
        <w:rPr>
          <w:rFonts w:asciiTheme="majorHAnsi" w:hAnsiTheme="majorHAnsi"/>
          <w:sz w:val="22"/>
          <w:szCs w:val="22"/>
        </w:rPr>
        <w:t xml:space="preserve">they are listed. </w:t>
      </w:r>
    </w:p>
    <w:p w14:paraId="18B5F838" w14:textId="0CE77115" w:rsidR="00092D10" w:rsidRPr="00982FF6" w:rsidRDefault="00B8796F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Exams:</w:t>
      </w:r>
      <w:r w:rsidRPr="00982FF6">
        <w:rPr>
          <w:rFonts w:asciiTheme="majorHAnsi" w:hAnsiTheme="majorHAnsi"/>
          <w:sz w:val="22"/>
          <w:szCs w:val="22"/>
        </w:rPr>
        <w:t xml:space="preserve"> There will be a midterm on </w:t>
      </w:r>
      <w:r w:rsidRPr="00982FF6">
        <w:rPr>
          <w:rFonts w:asciiTheme="majorHAnsi" w:hAnsiTheme="majorHAnsi"/>
          <w:b/>
          <w:bCs/>
          <w:sz w:val="22"/>
          <w:szCs w:val="22"/>
        </w:rPr>
        <w:t>Wednesday, October 18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There will be a final exam on </w:t>
      </w:r>
      <w:r w:rsidRPr="00982FF6">
        <w:rPr>
          <w:rFonts w:asciiTheme="majorHAnsi" w:hAnsiTheme="majorHAnsi"/>
          <w:b/>
          <w:bCs/>
          <w:sz w:val="22"/>
          <w:szCs w:val="22"/>
        </w:rPr>
        <w:t>Monday, December 4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Please mark these dates in your calendar; the exams will be in-person during class time.</w:t>
      </w:r>
    </w:p>
    <w:p w14:paraId="59B322E9" w14:textId="1CA4B3EF" w:rsidR="00092D10" w:rsidRPr="00982FF6" w:rsidRDefault="00092D10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Comment:</w:t>
      </w:r>
      <w:r w:rsidRPr="00982FF6">
        <w:rPr>
          <w:rFonts w:asciiTheme="majorHAnsi" w:hAnsiTheme="majorHAnsi"/>
          <w:sz w:val="22"/>
          <w:szCs w:val="22"/>
        </w:rPr>
        <w:t xml:space="preserve"> We may update course materials or schedule, as needed.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454"/>
        <w:gridCol w:w="2822"/>
        <w:gridCol w:w="2657"/>
        <w:gridCol w:w="1730"/>
      </w:tblGrid>
      <w:tr w:rsidR="00D439B5" w:rsidRPr="000E3A8A" w14:paraId="0B9EFAFB" w14:textId="77777777" w:rsidTr="00D6453E">
        <w:trPr>
          <w:trHeight w:val="576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</w:tcPr>
          <w:p w14:paraId="523EDF60" w14:textId="10B360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W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hy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D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o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M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arkets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F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ail?</w:t>
            </w:r>
          </w:p>
        </w:tc>
        <w:tc>
          <w:tcPr>
            <w:tcW w:w="1421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8D6176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Video</w:t>
              </w:r>
            </w:hyperlink>
          </w:p>
        </w:tc>
        <w:tc>
          <w:tcPr>
            <w:tcW w:w="925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</w:tcPr>
          <w:p w14:paraId="746CA2FA" w14:textId="0FA6FC38" w:rsidR="00DC0C83" w:rsidRPr="002B015B" w:rsidRDefault="005C38F6" w:rsidP="006E716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  <w:hyperlink r:id="rId21"/>
          </w:p>
        </w:tc>
        <w:tc>
          <w:tcPr>
            <w:tcW w:w="925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p w14:paraId="6C7BC61C" w14:textId="132676AC" w:rsidR="004608B4" w:rsidRPr="00D6453E" w:rsidRDefault="008D6176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#1</w:t>
              </w:r>
            </w:hyperlink>
            <w:r w:rsidR="004608B4" w:rsidRPr="00D6453E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u w:val="none"/>
              </w:rPr>
              <w:t xml:space="preserve"> or</w:t>
            </w:r>
          </w:p>
          <w:p w14:paraId="636C0194" w14:textId="42A22923" w:rsidR="004608B4" w:rsidRDefault="008D6176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#2</w:t>
              </w:r>
            </w:hyperlink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</w:tcPr>
          <w:p w14:paraId="61AA7D64" w14:textId="527FAE13" w:rsidR="00BB3B36" w:rsidRDefault="008D6176" w:rsidP="00BB3B36">
            <w:pPr>
              <w:jc w:val="center"/>
            </w:pPr>
            <w:hyperlink r:id="rId24">
              <w:r w:rsidR="00BB3B3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Olmstead Video</w:t>
              </w:r>
            </w:hyperlink>
          </w:p>
        </w:tc>
        <w:tc>
          <w:tcPr>
            <w:tcW w:w="925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</w:tcPr>
          <w:p w14:paraId="2A07F397" w14:textId="29C09CF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Infer</w:t>
            </w:r>
            <w:r w:rsidR="001A0E49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the Value of Open Space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, Public Lands and their Amenities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</w:tcPr>
          <w:p w14:paraId="5EA83AA7" w14:textId="77777777" w:rsidR="00BB3B36" w:rsidRDefault="008D6176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 and Reid (2017)</w:t>
              </w:r>
            </w:hyperlink>
          </w:p>
          <w:p w14:paraId="0E18A6BE" w14:textId="7B638BC2" w:rsidR="001A0E49" w:rsidRPr="0058377D" w:rsidRDefault="001A0E49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 w:rsidR="009E7433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26" w:history="1"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Gellman, Walls &amp; Wibbenmeyer (2023)</w:t>
              </w:r>
            </w:hyperlink>
          </w:p>
        </w:tc>
        <w:tc>
          <w:tcPr>
            <w:tcW w:w="925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</w:tcPr>
          <w:p w14:paraId="04C1FFE5" w14:textId="77777777" w:rsidR="009E7433" w:rsidRDefault="008D617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 w:history="1">
              <w:proofErr w:type="spellStart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</w:hyperlink>
            <w:r w:rsidR="007D1A3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33F9FDC" w14:textId="6D5A0A93" w:rsidR="00BB3B36" w:rsidRPr="0058377D" w:rsidRDefault="00962C7F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28">
              <w:r w:rsidR="00BB3B36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925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24F76BC5" w14:textId="77777777" w:rsidTr="00D6453E">
        <w:trPr>
          <w:trHeight w:val="530"/>
        </w:trPr>
        <w:tc>
          <w:tcPr>
            <w:tcW w:w="367" w:type="pct"/>
            <w:vAlign w:val="center"/>
          </w:tcPr>
          <w:p w14:paraId="265F53F9" w14:textId="11703FB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3225435C" w14:textId="6BDB9F4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A95FA56" w14:textId="6880882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Inference from Other Revealed Preferences: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Pr="00D4361C">
              <w:rPr>
                <w:rFonts w:asciiTheme="majorHAnsi" w:hAnsiTheme="majorHAnsi" w:cs="Calibri Light"/>
                <w:sz w:val="18"/>
                <w:szCs w:val="18"/>
              </w:rPr>
              <w:t>Wages</w:t>
            </w:r>
            <w:r w:rsidRPr="006E716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to Estimate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Environmental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Benefits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BE24F79" w14:textId="77777777" w:rsidR="00962C7F" w:rsidRDefault="008D617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9" w:history="1"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Wrenn, Klaiber &amp; Jaenicke (2016)</w:t>
              </w:r>
            </w:hyperlink>
            <w:r w:rsidR="00962C7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6B18DE2" w14:textId="17EBE8BE" w:rsidR="00FA68CD" w:rsidRPr="0058377D" w:rsidRDefault="00B07CBB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>and</w:t>
            </w:r>
            <w:r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 xml:space="preserve"> 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(</w:t>
            </w:r>
            <w:r w:rsidR="00A754D5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o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ptional)</w:t>
            </w: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</w:rPr>
              <w:t xml:space="preserve"> </w:t>
            </w:r>
            <w:hyperlink r:id="rId30" w:history="1"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Shogren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</w:t>
              </w:r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49CEC5F" w14:textId="0C31F14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A8A5980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42EE1BF0" w14:textId="7C9ED2B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3B2A8F1" w14:textId="13E04D4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38080ED3" w14:textId="3FD68D4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56A38E39" w14:textId="77777777" w:rsidR="00FA68CD" w:rsidRDefault="008D617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="00FA68CD" w:rsidRPr="007C4BB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Parthum and Ando (2020)</w:t>
              </w:r>
            </w:hyperlink>
          </w:p>
          <w:p w14:paraId="282D965C" w14:textId="4DA01DF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: </w:t>
            </w:r>
            <w:hyperlink r:id="rId32" w:history="1"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77EE1BDD" w14:textId="3DB5583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302B1DD7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D3F808E" w14:textId="36E1D9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83370B8" w14:textId="685CF21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48783855" w14:textId="6CA69E4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2A5A810F" w14:textId="50FC62F8" w:rsidR="00FA68CD" w:rsidRDefault="008D6176" w:rsidP="00FA68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="00FA68CD" w:rsidRPr="009E74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Harari Video</w:t>
              </w:r>
            </w:hyperlink>
          </w:p>
          <w:p w14:paraId="797932FA" w14:textId="42DC5C7B" w:rsidR="00FA68CD" w:rsidRDefault="008D617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4" w:history="1">
              <w:proofErr w:type="spellStart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Auffhammer</w:t>
              </w:r>
              <w:proofErr w:type="spellEnd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</w:p>
          <w:p w14:paraId="4715E786" w14:textId="511FCC53" w:rsidR="00FA68CD" w:rsidRPr="00D66E92" w:rsidRDefault="00FA68CD" w:rsidP="00FA68CD">
            <w:pPr>
              <w:jc w:val="center"/>
              <w:rPr>
                <w:rStyle w:val="Hyperlink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D6453E">
              <w:rPr>
                <w:rFonts w:asciiTheme="majorHAnsi" w:hAnsiTheme="majorHAnsi"/>
                <w:sz w:val="18"/>
                <w:szCs w:val="18"/>
              </w:rPr>
              <w:t>nd</w:t>
            </w:r>
            <w:r>
              <w:t xml:space="preserve"> </w:t>
            </w:r>
            <w:hyperlink r:id="rId35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46A1F1C1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Oct 1)</w:t>
            </w:r>
          </w:p>
        </w:tc>
      </w:tr>
      <w:tr w:rsidR="00FA68CD" w:rsidRPr="000E3A8A" w14:paraId="1DBEACDE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12491BC" w14:textId="65667F2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2F7777D" w14:textId="2182748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1AAFFE55" w14:textId="3E70F39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0E3E87A9" w14:textId="7DEAA781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41ADD4B7" w14:textId="77777777" w:rsidR="00FA68CD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6" w:history="1"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Fenichel podcast</w:t>
              </w:r>
            </w:hyperlink>
            <w:r w:rsidR="00FA68C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6CBCD4EC" w14:textId="4EF4673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>
              <w:t xml:space="preserve"> </w:t>
            </w:r>
            <w:hyperlink r:id="rId3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3415DF8" w14:textId="705FC92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5AC6770E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3: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Regulatory Impact Analysis</w:t>
            </w:r>
          </w:p>
        </w:tc>
      </w:tr>
      <w:tr w:rsidR="00FA68CD" w:rsidRPr="000E3A8A" w14:paraId="2CA73279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63DF4DB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7D67" w14:textId="16DFFF64" w:rsidR="00FA68CD" w:rsidRPr="00FE03A6" w:rsidRDefault="00FE03A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="Calibri Light"/>
                <w:sz w:val="18"/>
                <w:szCs w:val="18"/>
              </w:rPr>
              <w:instrText>HYPERLINK "https://github.com/adamtheising/environmental_economics/blob/main/journal%20articles/Mcgartland%202021.pdf"</w:instrText>
            </w:r>
            <w:r>
              <w:rPr>
                <w:rFonts w:asciiTheme="majorHAnsi" w:hAnsiTheme="majorHAnsi" w:cs="Calibri Light"/>
                <w:sz w:val="18"/>
                <w:szCs w:val="18"/>
              </w:rPr>
            </w:r>
            <w:r>
              <w:rPr>
                <w:rFonts w:asciiTheme="majorHAnsi" w:hAnsiTheme="majorHAnsi" w:cs="Calibri Light"/>
                <w:sz w:val="18"/>
                <w:szCs w:val="18"/>
              </w:rPr>
              <w:fldChar w:fldCharType="separate"/>
            </w:r>
            <w:r w:rsidR="00FA68CD" w:rsidRPr="00FE03A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McGartland (2021)</w:t>
            </w:r>
          </w:p>
          <w:p w14:paraId="31C343A1" w14:textId="7A478D2D" w:rsidR="00FA68CD" w:rsidRPr="0058377D" w:rsidRDefault="00FE03A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end"/>
            </w:r>
            <w:hyperlink r:id="rId38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AD6F4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Oct 2 (WA)</w:t>
            </w:r>
          </w:p>
        </w:tc>
        <w:tc>
          <w:tcPr>
            <w:tcW w:w="1509" w:type="pct"/>
            <w:vAlign w:val="center"/>
          </w:tcPr>
          <w:p w14:paraId="0AE72B07" w14:textId="08B487C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The Other Side of the Ledger: Benefit-Cost Analysis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</w:tcPr>
          <w:p w14:paraId="616A6CCE" w14:textId="707A5ECF" w:rsidR="00FA68CD" w:rsidRPr="00FE03A6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9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Arrow et al. (1996)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hyperlink r:id="rId40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Fraas et al. (2023)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(</w:t>
            </w:r>
            <w:r w:rsidR="00FE03A6" w:rsidRPr="00FE03A6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41" w:history="1">
              <w:proofErr w:type="spellStart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Flyvberg</w:t>
              </w:r>
              <w:proofErr w:type="spellEnd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 and Bester (2021)</w:t>
              </w:r>
            </w:hyperlink>
          </w:p>
        </w:tc>
        <w:tc>
          <w:tcPr>
            <w:tcW w:w="925" w:type="pct"/>
            <w:vAlign w:val="center"/>
          </w:tcPr>
          <w:p w14:paraId="4ADCFCB1" w14:textId="3572D39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2F7B9A" w:rsidRPr="000E3A8A" w14:paraId="6C98F1D2" w14:textId="77777777" w:rsidTr="004258A1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7C4872CE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History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B67" w14:textId="1683A7DE" w:rsidR="002F7B9A" w:rsidRPr="0058377D" w:rsidRDefault="008D6176" w:rsidP="004258A1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 w:history="1">
              <w:r w:rsidR="002F7B9A"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="002F7B9A"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43" w:history="1">
              <w:r w:rsidR="00D4679F" w:rsidRPr="004618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Qiang et al (2021)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5EF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65B82176" w:rsidR="002F7B9A" w:rsidRPr="003B1799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Oct </w:t>
            </w:r>
            <w:r w:rsidR="005F1BD8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29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15DCF280" w14:textId="77777777" w:rsidTr="00092D10">
        <w:trPr>
          <w:trHeight w:val="422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020C85D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790D890E" w:rsidR="002F7B9A" w:rsidRPr="00D4679F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4679F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78EB" w14:textId="2765D0D5" w:rsidR="00D4679F" w:rsidRPr="00D4679F" w:rsidRDefault="008D6176" w:rsidP="00D4679F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4" w:history="1">
              <w:proofErr w:type="spellStart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Andarge</w:t>
              </w:r>
              <w:proofErr w:type="spellEnd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  <w:r w:rsidR="00D4679F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D4679F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A306D9B" w14:textId="30F28C6D" w:rsidR="002F7B9A" w:rsidRPr="00D4679F" w:rsidRDefault="008D6176" w:rsidP="00D4679F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5">
              <w:r w:rsidR="00D4679F" w:rsidRPr="00D4679F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  <w:r w:rsidR="00D4679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976226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lastRenderedPageBreak/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796ACD5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FA68CD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24C4AA35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:</w:t>
            </w:r>
            <w:r w:rsid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Economics and Environmental Policy</w:t>
            </w:r>
          </w:p>
        </w:tc>
      </w:tr>
      <w:tr w:rsidR="002F7B9A" w:rsidRPr="000E3A8A" w14:paraId="1F5CB6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34E9F8B6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Economics, and Policy Design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8AB" w14:textId="4B8A0E7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- 9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>and (</w:t>
            </w:r>
            <w:r w:rsidR="004258A1" w:rsidRPr="004258A1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optional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 xml:space="preserve">) </w:t>
            </w:r>
            <w:hyperlink r:id="rId46" w:history="1">
              <w:r w:rsidR="004258A1" w:rsidRPr="0046183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Keohane et al. (1998)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6C366A6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41DE361A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A405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10</w:t>
            </w:r>
          </w:p>
          <w:p w14:paraId="441E700D" w14:textId="28D5F5AA" w:rsidR="004258A1" w:rsidRPr="00D4679F" w:rsidRDefault="008D6176" w:rsidP="004258A1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7">
              <w:r w:rsidR="002F7B9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 and 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4258A1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4258A1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32A66705" w14:textId="333E3FFE" w:rsidR="002F7B9A" w:rsidRPr="5A1919AE" w:rsidRDefault="008D6176" w:rsidP="004258A1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8" w:history="1">
              <w:r w:rsidR="004258A1" w:rsidRPr="00D4679F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Hernandez-Cortes and Meng (2023) 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DDC9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34CB0974" w14:textId="04A14E72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Nov </w:t>
            </w:r>
            <w:r w:rsidR="0030306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8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6252422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2D3D45E7" w:rsidR="00FA68CD" w:rsidRPr="5A1919AE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9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Hernandez-Cortes et al. (2022)</w:t>
              </w:r>
            </w:hyperlink>
            <w:r w:rsidR="00FA68CD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FA68CD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FA68C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50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7A2" w14:textId="05E7388C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E4839D0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FA68CD" w:rsidRPr="00582D60" w:rsidRDefault="008D6176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1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FA68CD" w:rsidRPr="5A1919AE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2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133DB7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A3E2" w14:textId="77777777" w:rsidR="000A7EB3" w:rsidRDefault="008D6176" w:rsidP="000A7EB3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3"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 and Shapiro (2019)</w:t>
              </w:r>
            </w:hyperlink>
          </w:p>
          <w:p w14:paraId="3EEB83BE" w14:textId="764F0B30" w:rsidR="00FA68CD" w:rsidRPr="5A1919AE" w:rsidRDefault="000A7EB3" w:rsidP="000A7EB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(optional) </w:t>
            </w:r>
            <w:hyperlink r:id="rId54" w:history="1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Keiser, Kling, and Shapiro (2018)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781E44C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FA68CD" w:rsidRPr="004258A1" w:rsidRDefault="008D6176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5"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21091AE5" w14:textId="77777777" w:rsidR="00FA68CD" w:rsidRPr="004258A1" w:rsidRDefault="008D617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6">
              <w:proofErr w:type="spellStart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  <w:p w14:paraId="131B8F60" w14:textId="306C77D1" w:rsidR="004258A1" w:rsidRPr="5A1919AE" w:rsidRDefault="004258A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>nd (</w:t>
            </w:r>
            <w:r w:rsidRPr="004258A1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57" w:history="1">
              <w:r w:rsidRPr="001B5D5A">
                <w:rPr>
                  <w:rStyle w:val="Hyperlink"/>
                  <w:rFonts w:asciiTheme="majorHAnsi" w:hAnsiTheme="majorHAnsi"/>
                  <w:sz w:val="18"/>
                  <w:szCs w:val="18"/>
                </w:rPr>
                <w:t>Keiser et al. (2023)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1A4F9B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2A9C01B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65A929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Toxic Chemicals – </w:t>
            </w:r>
            <w:r w:rsidR="00D2093D">
              <w:rPr>
                <w:rFonts w:asciiTheme="majorHAnsi" w:hAnsiTheme="majorHAnsi" w:cs="Calibri Light"/>
                <w:sz w:val="18"/>
                <w:szCs w:val="18"/>
              </w:rPr>
              <w:t xml:space="preserve">Liability,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9481" w14:textId="13ABC97E" w:rsidR="00D2093D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8" w:history="1">
              <w:r w:rsidR="00D2093D"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Shapira and Zingales (2023)</w:t>
              </w:r>
            </w:hyperlink>
          </w:p>
          <w:p w14:paraId="634DD758" w14:textId="6CE9B160" w:rsidR="00FA68CD" w:rsidRPr="5A1919AE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59" w:history="1">
              <w:proofErr w:type="spellStart"/>
              <w:r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Shavell</w:t>
              </w:r>
              <w:proofErr w:type="spellEnd"/>
              <w:r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(1984)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5C4F08E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07A39EA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FA68CD" w:rsidRPr="5A1919AE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0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2B0A7C02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5: International Environmental Economics and Policy Frontiers</w:t>
            </w:r>
          </w:p>
        </w:tc>
      </w:tr>
      <w:tr w:rsidR="00FA68CD" w:rsidRPr="000E3A8A" w14:paraId="1DCDF6F6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4C441E8F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 w:cs="Calibri Light"/>
                <w:sz w:val="18"/>
                <w:szCs w:val="18"/>
              </w:rPr>
              <w:t>Nov 20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1C73DCE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International Env</w:t>
            </w:r>
            <w:r w:rsidR="00B8796F">
              <w:rPr>
                <w:rFonts w:asciiTheme="majorHAnsi" w:hAnsiTheme="majorHAnsi" w:cs="Calibri Light"/>
                <w:sz w:val="18"/>
                <w:szCs w:val="18"/>
              </w:rPr>
              <w:t xml:space="preserve">ironmental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Economics 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0F71" w14:textId="111E45BE" w:rsidR="00FA68CD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1" w:history="1">
              <w:r w:rsidRPr="008D617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Levinson (2023)</w:t>
              </w:r>
            </w:hyperlink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</w:t>
            </w:r>
          </w:p>
          <w:p w14:paraId="6B26DFCB" w14:textId="4EDECB94" w:rsidR="008D6176" w:rsidRPr="008D6176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62" w:history="1">
              <w:proofErr w:type="spellStart"/>
              <w:r w:rsidRPr="008D617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Bellelli</w:t>
              </w:r>
              <w:proofErr w:type="spellEnd"/>
              <w:r w:rsidRPr="008D617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893DA19" w14:textId="77777777" w:rsidTr="00092D10">
        <w:trPr>
          <w:trHeight w:val="377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13DE728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3AEAC369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FA68CD" w:rsidRDefault="008D6176" w:rsidP="00FA68CD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3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FA68CD" w:rsidRPr="5A1919AE" w:rsidRDefault="008D617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4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7AD958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0E241D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8005CA" w:rsidRPr="000E3A8A" w14:paraId="1E33209A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97E7" w14:textId="4C6B5632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16+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096" w14:textId="5617894D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16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920" w14:textId="7ACBE73E" w:rsidR="008005CA" w:rsidRP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8005CA">
              <w:rPr>
                <w:rFonts w:asciiTheme="majorHAnsi" w:hAnsiTheme="majorHAnsi" w:cs="Calibri Light"/>
                <w:sz w:val="18"/>
                <w:szCs w:val="18"/>
              </w:rPr>
              <w:t>Have a great winter break!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2334" w14:textId="77777777" w:rsidR="008005CA" w:rsidRPr="5A1919AE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4CAB" w14:textId="77777777" w:rsidR="008005CA" w:rsidRPr="00BB3B36" w:rsidRDefault="008005CA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A2C9" w14:textId="77777777" w:rsidR="001F55C1" w:rsidRDefault="001F55C1" w:rsidP="00D11838">
      <w:r>
        <w:separator/>
      </w:r>
    </w:p>
  </w:endnote>
  <w:endnote w:type="continuationSeparator" w:id="0">
    <w:p w14:paraId="6057A095" w14:textId="77777777" w:rsidR="001F55C1" w:rsidRDefault="001F55C1" w:rsidP="00D11838">
      <w:r>
        <w:continuationSeparator/>
      </w:r>
    </w:p>
  </w:endnote>
  <w:endnote w:type="continuationNotice" w:id="1">
    <w:p w14:paraId="66B92793" w14:textId="77777777" w:rsidR="001F55C1" w:rsidRDefault="001F5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07C8" w14:textId="77777777" w:rsidR="001F55C1" w:rsidRDefault="001F55C1" w:rsidP="00D11838">
      <w:r>
        <w:separator/>
      </w:r>
    </w:p>
  </w:footnote>
  <w:footnote w:type="continuationSeparator" w:id="0">
    <w:p w14:paraId="652F34DB" w14:textId="77777777" w:rsidR="001F55C1" w:rsidRDefault="001F55C1" w:rsidP="00D11838">
      <w:r>
        <w:continuationSeparator/>
      </w:r>
    </w:p>
  </w:footnote>
  <w:footnote w:type="continuationNotice" w:id="1">
    <w:p w14:paraId="5CC2089C" w14:textId="77777777" w:rsidR="001F55C1" w:rsidRDefault="001F55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2D10"/>
    <w:rsid w:val="000960DF"/>
    <w:rsid w:val="000A0625"/>
    <w:rsid w:val="000A1570"/>
    <w:rsid w:val="000A42FA"/>
    <w:rsid w:val="000A7EB3"/>
    <w:rsid w:val="000B2261"/>
    <w:rsid w:val="000B5F80"/>
    <w:rsid w:val="000B72F3"/>
    <w:rsid w:val="000C1DD5"/>
    <w:rsid w:val="000C5746"/>
    <w:rsid w:val="000C78BD"/>
    <w:rsid w:val="000D658C"/>
    <w:rsid w:val="000E0EF1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5D5A"/>
    <w:rsid w:val="001B6BC8"/>
    <w:rsid w:val="001B95A3"/>
    <w:rsid w:val="001C5AF4"/>
    <w:rsid w:val="001C7A20"/>
    <w:rsid w:val="001F242C"/>
    <w:rsid w:val="001F45DB"/>
    <w:rsid w:val="001F55C1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2F7B9A"/>
    <w:rsid w:val="00301C1B"/>
    <w:rsid w:val="00303066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58A1"/>
    <w:rsid w:val="00426DCD"/>
    <w:rsid w:val="00433979"/>
    <w:rsid w:val="00433F37"/>
    <w:rsid w:val="00435157"/>
    <w:rsid w:val="00445601"/>
    <w:rsid w:val="00451EC7"/>
    <w:rsid w:val="004608B4"/>
    <w:rsid w:val="004617FE"/>
    <w:rsid w:val="00461833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1CCB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1BD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E7167"/>
    <w:rsid w:val="006F1AB6"/>
    <w:rsid w:val="006F78E0"/>
    <w:rsid w:val="007017AE"/>
    <w:rsid w:val="007057F3"/>
    <w:rsid w:val="007064BC"/>
    <w:rsid w:val="00707B51"/>
    <w:rsid w:val="00710663"/>
    <w:rsid w:val="00713D1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131E"/>
    <w:rsid w:val="007841B3"/>
    <w:rsid w:val="007855EC"/>
    <w:rsid w:val="00790051"/>
    <w:rsid w:val="00790162"/>
    <w:rsid w:val="007902C2"/>
    <w:rsid w:val="00790ACD"/>
    <w:rsid w:val="00795359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05CA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D6176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379A8"/>
    <w:rsid w:val="00944E79"/>
    <w:rsid w:val="00945672"/>
    <w:rsid w:val="0095184C"/>
    <w:rsid w:val="009527E6"/>
    <w:rsid w:val="00952F66"/>
    <w:rsid w:val="00961899"/>
    <w:rsid w:val="00962C7F"/>
    <w:rsid w:val="009649A5"/>
    <w:rsid w:val="009708E9"/>
    <w:rsid w:val="0097237B"/>
    <w:rsid w:val="00973B18"/>
    <w:rsid w:val="009745AE"/>
    <w:rsid w:val="0097551C"/>
    <w:rsid w:val="00982FF6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E7433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674EB"/>
    <w:rsid w:val="00A701B0"/>
    <w:rsid w:val="00A72F16"/>
    <w:rsid w:val="00A754D5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07CBB"/>
    <w:rsid w:val="00B13858"/>
    <w:rsid w:val="00B165C1"/>
    <w:rsid w:val="00B22047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8796F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093D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4679F"/>
    <w:rsid w:val="00D50065"/>
    <w:rsid w:val="00D5366B"/>
    <w:rsid w:val="00D629BC"/>
    <w:rsid w:val="00D6453E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C4E0D"/>
    <w:rsid w:val="00ED08F7"/>
    <w:rsid w:val="00ED1C88"/>
    <w:rsid w:val="00ED28DF"/>
    <w:rsid w:val="00ED63D7"/>
    <w:rsid w:val="00EE5781"/>
    <w:rsid w:val="00EF3CCC"/>
    <w:rsid w:val="00F03B29"/>
    <w:rsid w:val="00F060F2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68CD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D73CD"/>
    <w:rsid w:val="00FE03A6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acobgellman.github.io/files/gellman_et_al_2023-welfare_losses_wildfire_smoke_recreation.pdf" TargetMode="External"/><Relationship Id="rId21" Type="http://schemas.openxmlformats.org/officeDocument/2006/relationships/hyperlink" Target="https://bryanparthum.github.io/papers/journal_articles/Hausman%20and%20Raimi%202019%20-%20Oil%20and%20Gas%20Comment%20to%20EPA.pdf" TargetMode="External"/><Relationship Id="rId34" Type="http://schemas.openxmlformats.org/officeDocument/2006/relationships/hyperlink" Target="https://youtu.be/BNdS1o2GoPQ" TargetMode="External"/><Relationship Id="rId42" Type="http://schemas.openxmlformats.org/officeDocument/2006/relationships/hyperlink" Target="https://www.aeaweb.org/articles?id=10.1257/jep.33.1.185" TargetMode="External"/><Relationship Id="rId47" Type="http://schemas.openxmlformats.org/officeDocument/2006/relationships/hyperlink" Target="https://www.resources.org/resources-radio/building-a-carbon-trading-system-in-new-york-city-with-danielle-spiegel-feld/" TargetMode="External"/><Relationship Id="rId50" Type="http://schemas.openxmlformats.org/officeDocument/2006/relationships/hyperlink" Target="https://www.jstor.org/stable/10.1086/427462" TargetMode="External"/><Relationship Id="rId55" Type="http://schemas.openxmlformats.org/officeDocument/2006/relationships/hyperlink" Target="https://www.pnas.org/doi/abs/10.1073/pnas.1719805115" TargetMode="External"/><Relationship Id="rId63" Type="http://schemas.openxmlformats.org/officeDocument/2006/relationships/hyperlink" Target="https://www.rff.org/events/rff-live/climate-change-and-the-supreme-court-west-virginia-v-epa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journals.uchicago.edu/doi/abs/10.1086/68848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www.oecd-ilibrary.org/deliver/7242509f-en.pdf?itemId=%2Fcontent%2Fpaper%2F7242509f-en&amp;mimeType=pdf" TargetMode="External"/><Relationship Id="rId37" Type="http://schemas.openxmlformats.org/officeDocument/2006/relationships/hyperlink" Target="https://www.resources.org/common-resources/almost-practical-step-toward-sustainability/" TargetMode="External"/><Relationship Id="rId40" Type="http://schemas.openxmlformats.org/officeDocument/2006/relationships/hyperlink" Target="https://github.com/adamtheising/environmental_economics/blob/main/journal%20articles/fraas_etal2023.pdf" TargetMode="External"/><Relationship Id="rId45" Type="http://schemas.openxmlformats.org/officeDocument/2006/relationships/hyperlink" Target="https://www.epa.gov/sites/default/files/2016-06/documents/ejtg_5_6_16_v5.1.pdf" TargetMode="External"/><Relationship Id="rId53" Type="http://schemas.openxmlformats.org/officeDocument/2006/relationships/hyperlink" Target="https://www.aeaweb.org/articles?id=10.1257/jep.33.4.51" TargetMode="External"/><Relationship Id="rId58" Type="http://schemas.openxmlformats.org/officeDocument/2006/relationships/hyperlink" Target="https://github.com/adamtheising/environmental_economics/blob/main/journal%20articles/Shapira%20and%20Zingales%202023.pdf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aeaweb.org/articles?id=10.1257/jep.37.3.87" TargetMode="External"/><Relationship Id="rId19" Type="http://schemas.openxmlformats.org/officeDocument/2006/relationships/hyperlink" Target="https://nyupress.org/9781479861781/toxic-communities/" TargetMode="External"/><Relationship Id="rId14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2" Type="http://schemas.openxmlformats.org/officeDocument/2006/relationships/hyperlink" Target="https://soundcloud.com/resourcesradio/how-much-is-a-tree-worth-with-hannah-druckenmiller" TargetMode="External"/><Relationship Id="rId27" Type="http://schemas.openxmlformats.org/officeDocument/2006/relationships/hyperlink" Target="https://www.aeaweb.org/articles/pdf/doi/10.1257/aer.20140079" TargetMode="External"/><Relationship Id="rId30" Type="http://schemas.openxmlformats.org/officeDocument/2006/relationships/hyperlink" Target="https://bryanparthum.github.io/papers/journal_articles/Shogren%20and%20Stamland%202005%20-%20Defensive%20Behavior%20and%20VSL.pdf" TargetMode="External"/><Relationship Id="rId35" Type="http://schemas.openxmlformats.org/officeDocument/2006/relationships/hyperlink" Target="https://www.pnas.org/doi/epdf/10.1073/pnas.1609244114" TargetMode="External"/><Relationship Id="rId43" Type="http://schemas.openxmlformats.org/officeDocument/2006/relationships/hyperlink" Target="https://github.com/adamtheising/environmental_economics/blob/main/journal%20articles/Qiang%20et%20al%202021.pdf" TargetMode="External"/><Relationship Id="rId48" Type="http://schemas.openxmlformats.org/officeDocument/2006/relationships/hyperlink" Target="https://github.com/adamtheising/environmental_economics/blob/main/journal%20articles/Hernandez-Cortes%20and%20Meng%20(2023).pdf" TargetMode="External"/><Relationship Id="rId56" Type="http://schemas.openxmlformats.org/officeDocument/2006/relationships/hyperlink" Target="https://www.nrdc.org/sites/default/files/watered-down-justice-report.pdf" TargetMode="External"/><Relationship Id="rId64" Type="http://schemas.openxmlformats.org/officeDocument/2006/relationships/hyperlink" Target="https://www.rff.org/events/rff-live/inflation-reduction-act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3" Type="http://schemas.openxmlformats.org/officeDocument/2006/relationships/styles" Target="styles.xml"/><Relationship Id="rId12" Type="http://schemas.openxmlformats.org/officeDocument/2006/relationships/hyperlink" Target="mailto:adam.theising@georgetown.edu" TargetMode="Externa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youtube.com/watch?v=SiCvGQnweAg" TargetMode="External"/><Relationship Id="rId38" Type="http://schemas.openxmlformats.org/officeDocument/2006/relationships/hyperlink" Target="https://github.com/adamtheising/environmental_economics/blob/main/journal%20articles/Cook%202022.pdf" TargetMode="External"/><Relationship Id="rId46" Type="http://schemas.openxmlformats.org/officeDocument/2006/relationships/hyperlink" Target="https://github.com/adamtheising/environmental_economics/blob/main/journal%20articles/Koehane%20et%20al%201998.pdf" TargetMode="External"/><Relationship Id="rId59" Type="http://schemas.openxmlformats.org/officeDocument/2006/relationships/hyperlink" Target="https://github.com/adamtheising/environmental_economics/blob/main/journal%20articles/Shavell%201984.pdf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github.com/adamtheising/environmental_economics/blob/main/journal%20articles/Flyvberg_Bester_2021.pdf" TargetMode="External"/><Relationship Id="rId54" Type="http://schemas.openxmlformats.org/officeDocument/2006/relationships/hyperlink" Target="https://www.pnas.org/doi/epdf/10.1073/pnas.1802870115" TargetMode="External"/><Relationship Id="rId62" Type="http://schemas.openxmlformats.org/officeDocument/2006/relationships/hyperlink" Target="https://www.journals.uchicago.edu/doi/abs/10.1086/7229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damtheising/environmental_economics" TargetMode="External"/><Relationship Id="rId23" Type="http://schemas.openxmlformats.org/officeDocument/2006/relationships/hyperlink" Target="https://soundcloud.com/resourcesradio/sensing-air-pollution-exposure-in-new-york-city-schools-with-beia-spiller" TargetMode="External"/><Relationship Id="rId28" Type="http://schemas.openxmlformats.org/officeDocument/2006/relationships/hyperlink" Target="https://www.nber.org/system/files/working_papers/w24826/w24826.pdf" TargetMode="External"/><Relationship Id="rId36" Type="http://schemas.openxmlformats.org/officeDocument/2006/relationships/hyperlink" Target="https://www.resources.org/resources-radio/integrating-nature-into-us-economic-statistics-with-eli-fenichel/" TargetMode="External"/><Relationship Id="rId49" Type="http://schemas.openxmlformats.org/officeDocument/2006/relationships/hyperlink" Target="https://www.nber.org/papers/w30198" TargetMode="External"/><Relationship Id="rId57" Type="http://schemas.openxmlformats.org/officeDocument/2006/relationships/hyperlink" Target="https://github.com/adamtheising/environmental_economics/blob/main/journal%20articles/Keiser%20et%20al%202023.pdf" TargetMode="External"/><Relationship Id="rId10" Type="http://schemas.openxmlformats.org/officeDocument/2006/relationships/hyperlink" Target="mailto:wes.austin@georgetown.edu" TargetMode="External"/><Relationship Id="rId31" Type="http://schemas.openxmlformats.org/officeDocument/2006/relationships/hyperlink" Target="https://bryanparthum.github.io/papers/papers/Parthum_Ando_2020.pdf" TargetMode="External"/><Relationship Id="rId44" Type="http://schemas.openxmlformats.org/officeDocument/2006/relationships/hyperlink" Target="https://github.com/adamtheising/environmental_economics/blob/main/journal%20articles/Andarge%20et%20al%202023.pdf" TargetMode="External"/><Relationship Id="rId52" Type="http://schemas.openxmlformats.org/officeDocument/2006/relationships/hyperlink" Target="https://www.resources.org/resources-radio/driving-toward-justice-transportation-and-equity-with-regan-patterson/" TargetMode="External"/><Relationship Id="rId60" Type="http://schemas.openxmlformats.org/officeDocument/2006/relationships/hyperlink" Target="https://www.youtube.com/watch?v=F4udLhOdPro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mailto:ym406@georgetown.edu" TargetMode="External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39" Type="http://schemas.openxmlformats.org/officeDocument/2006/relationships/hyperlink" Target="https://github.com/adamtheising/environmental_economics/blob/main/journal%20articles/Arrow_199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Theising, Adam</cp:lastModifiedBy>
  <cp:revision>4</cp:revision>
  <cp:lastPrinted>2023-08-22T23:06:00Z</cp:lastPrinted>
  <dcterms:created xsi:type="dcterms:W3CDTF">2023-10-31T19:30:00Z</dcterms:created>
  <dcterms:modified xsi:type="dcterms:W3CDTF">2023-11-15T02:51:00Z</dcterms:modified>
</cp:coreProperties>
</file>