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4886" w14:textId="77777777" w:rsidR="002D45CC" w:rsidRPr="002D45CC" w:rsidRDefault="002D45CC" w:rsidP="002D45CC">
      <w:pPr>
        <w:spacing w:line="360" w:lineRule="auto"/>
        <w:jc w:val="center"/>
        <w:rPr>
          <w:rFonts w:ascii="AkkuratStd" w:hAnsi="AkkuratStd"/>
          <w:b/>
          <w:bCs/>
          <w:sz w:val="22"/>
          <w:szCs w:val="22"/>
        </w:rPr>
      </w:pPr>
      <w:r w:rsidRPr="002D45CC">
        <w:rPr>
          <w:rFonts w:ascii="AkkuratStd" w:hAnsi="AkkuratStd"/>
          <w:b/>
          <w:bCs/>
          <w:sz w:val="28"/>
          <w:szCs w:val="28"/>
        </w:rPr>
        <w:t>Results of Statistical Analyses</w:t>
      </w:r>
    </w:p>
    <w:p w14:paraId="5B643B69" w14:textId="77777777" w:rsidR="002D45CC" w:rsidRDefault="002D45CC" w:rsidP="002D45CC">
      <w:pPr>
        <w:spacing w:line="360" w:lineRule="auto"/>
        <w:jc w:val="both"/>
        <w:rPr>
          <w:rFonts w:ascii="AkkuratStd" w:hAnsi="AkkuratStd"/>
          <w:sz w:val="22"/>
          <w:szCs w:val="22"/>
        </w:rPr>
      </w:pPr>
    </w:p>
    <w:p w14:paraId="2F18842C" w14:textId="73D8B352" w:rsidR="002D45CC" w:rsidRDefault="002D45CC" w:rsidP="002D45CC">
      <w:pPr>
        <w:spacing w:line="360" w:lineRule="auto"/>
        <w:jc w:val="both"/>
        <w:rPr>
          <w:rFonts w:ascii="AkkuratStd" w:hAnsi="AkkuratStd"/>
          <w:sz w:val="22"/>
          <w:szCs w:val="22"/>
        </w:rPr>
      </w:pPr>
      <w:r w:rsidRPr="002D45CC">
        <w:rPr>
          <w:rFonts w:ascii="AkkuratStd" w:hAnsi="AkkuratStd"/>
          <w:sz w:val="22"/>
          <w:szCs w:val="22"/>
        </w:rPr>
        <w:t>Predictors of mortality of hospitalized patients with laboratory-confirmed severe</w:t>
      </w:r>
      <w:r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acute respiratory syndrome coronavirus 2 in Nigeria: A retrospective analysis of</w:t>
      </w:r>
      <w:r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high burden states</w:t>
      </w:r>
    </w:p>
    <w:p w14:paraId="397FB893" w14:textId="77777777" w:rsidR="002D45CC" w:rsidRPr="002D45CC" w:rsidRDefault="002D45CC" w:rsidP="002D45CC">
      <w:pPr>
        <w:spacing w:line="360" w:lineRule="auto"/>
        <w:jc w:val="center"/>
        <w:rPr>
          <w:rFonts w:ascii="AkkuratStd" w:hAnsi="AkkuratStd"/>
          <w:sz w:val="22"/>
          <w:szCs w:val="22"/>
        </w:rPr>
      </w:pPr>
    </w:p>
    <w:p w14:paraId="079876CC" w14:textId="2F481744" w:rsidR="00357866" w:rsidRDefault="002D45CC" w:rsidP="002D45CC">
      <w:pPr>
        <w:spacing w:line="360" w:lineRule="auto"/>
        <w:jc w:val="center"/>
        <w:rPr>
          <w:rFonts w:ascii="AkkuratStd" w:hAnsi="AkkuratStd"/>
          <w:sz w:val="22"/>
          <w:szCs w:val="22"/>
        </w:rPr>
      </w:pPr>
      <w:r w:rsidRPr="002D45CC">
        <w:rPr>
          <w:rFonts w:ascii="AkkuratStd" w:hAnsi="AkkuratStd"/>
          <w:sz w:val="22"/>
          <w:szCs w:val="22"/>
        </w:rPr>
        <w:t>October 2</w:t>
      </w:r>
      <w:r>
        <w:rPr>
          <w:rFonts w:ascii="AkkuratStd" w:hAnsi="AkkuratStd"/>
          <w:sz w:val="22"/>
          <w:szCs w:val="22"/>
        </w:rPr>
        <w:t>2</w:t>
      </w:r>
      <w:r w:rsidRPr="002D45CC">
        <w:rPr>
          <w:rFonts w:ascii="AkkuratStd" w:hAnsi="AkkuratStd"/>
          <w:sz w:val="22"/>
          <w:szCs w:val="22"/>
        </w:rPr>
        <w:t>, 2021</w:t>
      </w:r>
    </w:p>
    <w:p w14:paraId="16EAA613" w14:textId="77777777" w:rsidR="002D45CC" w:rsidRDefault="002D45CC" w:rsidP="002D45CC">
      <w:pPr>
        <w:spacing w:line="360" w:lineRule="auto"/>
        <w:jc w:val="center"/>
        <w:rPr>
          <w:rFonts w:ascii="AkkuratStd" w:hAnsi="AkkuratStd"/>
          <w:sz w:val="22"/>
          <w:szCs w:val="22"/>
        </w:rPr>
        <w:sectPr w:rsidR="002D45CC" w:rsidSect="00A245DE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BB169A9" w14:textId="09F667EF" w:rsidR="002D45CC" w:rsidRDefault="002D45CC" w:rsidP="002D45CC">
      <w:pPr>
        <w:spacing w:line="360" w:lineRule="auto"/>
        <w:rPr>
          <w:rFonts w:ascii="AkkuratStd" w:hAnsi="AkkuratStd"/>
          <w:sz w:val="22"/>
          <w:szCs w:val="22"/>
        </w:rPr>
      </w:pPr>
      <w:r>
        <w:rPr>
          <w:rFonts w:ascii="AkkuratStd" w:hAnsi="AkkuratStd"/>
          <w:sz w:val="22"/>
          <w:szCs w:val="22"/>
        </w:rPr>
        <w:lastRenderedPageBreak/>
        <w:t>Front Matter</w:t>
      </w:r>
    </w:p>
    <w:p w14:paraId="55B7D15D" w14:textId="4CFDE2DD" w:rsidR="002D45CC" w:rsidRDefault="002D45CC" w:rsidP="002D45CC">
      <w:pPr>
        <w:spacing w:line="360" w:lineRule="auto"/>
        <w:rPr>
          <w:rFonts w:ascii="AkkuratStd" w:hAnsi="AkkuratStd"/>
          <w:sz w:val="22"/>
          <w:szCs w:val="22"/>
        </w:rPr>
      </w:pPr>
    </w:p>
    <w:p w14:paraId="42F5041D" w14:textId="4CAB9F7B" w:rsidR="002D45CC" w:rsidRDefault="002D45CC" w:rsidP="002D45CC">
      <w:pPr>
        <w:spacing w:line="360" w:lineRule="auto"/>
        <w:rPr>
          <w:rFonts w:ascii="AkkuratStd" w:hAnsi="AkkuratStd"/>
          <w:sz w:val="22"/>
          <w:szCs w:val="22"/>
        </w:rPr>
      </w:pPr>
    </w:p>
    <w:p w14:paraId="6135A8E5" w14:textId="77777777" w:rsidR="002D45CC" w:rsidRDefault="002D45CC" w:rsidP="002D45CC">
      <w:pPr>
        <w:spacing w:line="360" w:lineRule="auto"/>
        <w:rPr>
          <w:rFonts w:ascii="AkkuratStd" w:hAnsi="AkkuratStd"/>
          <w:sz w:val="22"/>
          <w:szCs w:val="22"/>
        </w:rPr>
        <w:sectPr w:rsidR="002D45CC" w:rsidSect="00A245DE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F120E71" w14:textId="72E83681" w:rsidR="002D45CC" w:rsidRPr="002D45CC" w:rsidRDefault="002D45CC" w:rsidP="002D45CC">
      <w:pPr>
        <w:pStyle w:val="Heading1"/>
        <w:spacing w:before="0" w:after="120" w:line="360" w:lineRule="auto"/>
        <w:rPr>
          <w:rFonts w:ascii="AkkuratStd" w:hAnsi="AkkuratStd"/>
          <w:b/>
          <w:bCs/>
        </w:rPr>
      </w:pPr>
      <w:r w:rsidRPr="002D45CC">
        <w:rPr>
          <w:rFonts w:ascii="AkkuratStd" w:hAnsi="AkkuratStd"/>
          <w:b/>
          <w:bCs/>
          <w:color w:val="000000" w:themeColor="text1"/>
          <w:sz w:val="24"/>
          <w:szCs w:val="24"/>
        </w:rPr>
        <w:lastRenderedPageBreak/>
        <w:t>Background</w:t>
      </w:r>
    </w:p>
    <w:p w14:paraId="517FE4FA" w14:textId="554E14F7" w:rsidR="002D45CC" w:rsidRDefault="002D45CC" w:rsidP="00B8566C">
      <w:pPr>
        <w:spacing w:after="120" w:line="360" w:lineRule="auto"/>
        <w:jc w:val="both"/>
        <w:rPr>
          <w:rFonts w:ascii="AkkuratStd" w:hAnsi="AkkuratStd"/>
          <w:sz w:val="22"/>
          <w:szCs w:val="22"/>
        </w:rPr>
      </w:pPr>
      <w:r w:rsidRPr="002D45CC">
        <w:rPr>
          <w:rFonts w:ascii="AkkuratStd" w:hAnsi="AkkuratStd"/>
          <w:sz w:val="22"/>
          <w:szCs w:val="22"/>
        </w:rPr>
        <w:t>The current COVID 19 pandemic has resulted in a high number of deaths and associated disruption</w:t>
      </w:r>
      <w:r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of public health and socioeconomic activities of countries and populations.  As at 9th of April 2021,</w:t>
      </w:r>
      <w:r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Nigeria had recorded 163,581 confirmed cases, with 150,005 cases discharged, 7,518 cases on admission and 2,058 deaths with a significant increase in the number of confirmed cases and concurrent</w:t>
      </w:r>
      <w:r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deaths since the beginning of the second wave of infections.  Most of these deaths have been in-hospital. Little is known about the deaths in the community due largely to poor community records</w:t>
      </w:r>
      <w:r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of deaths and other vital statistics. The weak Nigerian health system is thought to have led to a considerably high in-hospital mortality especially in settings where critical care services and resources</w:t>
      </w:r>
      <w:r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are scarce. Underlying morbidities such as malnutrition, anemia, HIV/AIDs, and chronic respiratory</w:t>
      </w:r>
      <w:r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conditions, diabetes and heart failure have been shown to be important contributors to high global</w:t>
      </w:r>
      <w:r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mortality in the current COVID 19 pandemic.</w:t>
      </w:r>
      <w:r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Even though several global reports have been written about the impact of the COVID 19 pandemic on</w:t>
      </w:r>
      <w:r w:rsidR="00EF11F6"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clinical outcomes especially the attendant morbidity and mortality, little is known about the situation in Nigeria. Understanding the relative contributions and probable mechanism through which</w:t>
      </w:r>
      <w:r w:rsidR="00EF11F6"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sociodemographic, clinical and laboratory factors relate to the high in-hospital mortality in Nigeria</w:t>
      </w:r>
      <w:r w:rsidR="00EF11F6"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could help us identify weak points within the health system that can be improved upon for current</w:t>
      </w:r>
      <w:r w:rsidR="00EF11F6"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and future responses. In addition, such review will also help us plan and prioritize health infrastructure and resource allocation for better health outcomes in our public health system.</w:t>
      </w:r>
      <w:r w:rsidR="00EF11F6"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The aim of this study was to describe clinical characteristics and factors associated with mortality</w:t>
      </w:r>
      <w:r w:rsidR="00EF11F6"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and time to mortality for patients hospitalized with laboratory-confirmed severe acute respiratory</w:t>
      </w:r>
      <w:r w:rsidR="00EF11F6">
        <w:rPr>
          <w:rFonts w:ascii="AkkuratStd" w:hAnsi="AkkuratStd"/>
          <w:sz w:val="22"/>
          <w:szCs w:val="22"/>
        </w:rPr>
        <w:t xml:space="preserve"> </w:t>
      </w:r>
      <w:r w:rsidRPr="002D45CC">
        <w:rPr>
          <w:rFonts w:ascii="AkkuratStd" w:hAnsi="AkkuratStd"/>
          <w:sz w:val="22"/>
          <w:szCs w:val="22"/>
        </w:rPr>
        <w:t>syndrome coronavirus 2 (SARS-CoV-2) infection in Nigeria</w:t>
      </w:r>
    </w:p>
    <w:p w14:paraId="7CBA0EA5" w14:textId="445D2A8F" w:rsidR="002D45CC" w:rsidRPr="00B8566C" w:rsidRDefault="00B8566C" w:rsidP="00B8566C">
      <w:pPr>
        <w:pStyle w:val="Heading1"/>
        <w:spacing w:before="40" w:after="120" w:line="360" w:lineRule="auto"/>
        <w:rPr>
          <w:rFonts w:ascii="AkkuratStd" w:hAnsi="AkkuratStd"/>
          <w:b/>
          <w:bCs/>
          <w:color w:val="000000" w:themeColor="text1"/>
          <w:sz w:val="24"/>
          <w:szCs w:val="24"/>
        </w:rPr>
      </w:pPr>
      <w:r w:rsidRPr="00B8566C">
        <w:rPr>
          <w:rFonts w:ascii="AkkuratStd" w:hAnsi="AkkuratStd"/>
          <w:b/>
          <w:bCs/>
          <w:color w:val="000000" w:themeColor="text1"/>
          <w:sz w:val="24"/>
          <w:szCs w:val="24"/>
        </w:rPr>
        <w:t>Data Analysis Plan</w:t>
      </w:r>
    </w:p>
    <w:p w14:paraId="54BDA371" w14:textId="77777777" w:rsidR="00B8566C" w:rsidRPr="00B8566C" w:rsidRDefault="00B8566C" w:rsidP="00B8566C">
      <w:pPr>
        <w:pStyle w:val="Heading2"/>
        <w:spacing w:after="120" w:line="360" w:lineRule="auto"/>
        <w:rPr>
          <w:rFonts w:ascii="AkkuratStd" w:hAnsi="AkkuratStd"/>
          <w:b/>
          <w:bCs/>
          <w:color w:val="000000" w:themeColor="text1"/>
          <w:sz w:val="22"/>
          <w:szCs w:val="22"/>
        </w:rPr>
      </w:pPr>
      <w:r w:rsidRPr="00B8566C">
        <w:rPr>
          <w:rFonts w:ascii="AkkuratStd" w:hAnsi="AkkuratStd"/>
          <w:b/>
          <w:bCs/>
          <w:color w:val="000000" w:themeColor="text1"/>
          <w:sz w:val="22"/>
          <w:szCs w:val="22"/>
        </w:rPr>
        <w:t>Study Setting</w:t>
      </w:r>
    </w:p>
    <w:p w14:paraId="315912A8" w14:textId="2F87235E" w:rsidR="00B8566C" w:rsidRDefault="00B8566C" w:rsidP="00B8566C">
      <w:pPr>
        <w:spacing w:line="360" w:lineRule="auto"/>
        <w:jc w:val="both"/>
        <w:rPr>
          <w:rFonts w:ascii="AkkuratStd" w:hAnsi="AkkuratStd"/>
          <w:sz w:val="22"/>
          <w:szCs w:val="22"/>
        </w:rPr>
      </w:pPr>
      <w:r w:rsidRPr="00B8566C">
        <w:rPr>
          <w:rFonts w:ascii="AkkuratStd" w:hAnsi="AkkuratStd"/>
          <w:sz w:val="22"/>
          <w:szCs w:val="22"/>
        </w:rPr>
        <w:t>Nigeria is Africa’s most populous country. We studied patients with laboratory-confirmed SARS-CoV-2 infection from 28 COVID</w:t>
      </w:r>
      <w:r>
        <w:rPr>
          <w:rFonts w:ascii="AkkuratStd" w:hAnsi="AkkuratStd"/>
          <w:sz w:val="22"/>
          <w:szCs w:val="22"/>
        </w:rPr>
        <w:t>-</w:t>
      </w:r>
      <w:r w:rsidRPr="00B8566C">
        <w:rPr>
          <w:rFonts w:ascii="AkkuratStd" w:hAnsi="AkkuratStd"/>
          <w:sz w:val="22"/>
          <w:szCs w:val="22"/>
        </w:rPr>
        <w:t>19 treatment centers across 15 states in Nigeria including the Federal Capital Territory (see Figure1).</w:t>
      </w:r>
    </w:p>
    <w:p w14:paraId="377735F3" w14:textId="61BEF805" w:rsidR="00B8566C" w:rsidRPr="00B8566C" w:rsidRDefault="00B8566C" w:rsidP="00B8566C">
      <w:pPr>
        <w:pStyle w:val="Heading2"/>
        <w:spacing w:after="120" w:line="360" w:lineRule="auto"/>
        <w:rPr>
          <w:rFonts w:ascii="AkkuratStd" w:hAnsi="AkkuratStd"/>
          <w:b/>
          <w:bCs/>
          <w:color w:val="000000" w:themeColor="text1"/>
          <w:sz w:val="22"/>
          <w:szCs w:val="22"/>
        </w:rPr>
      </w:pPr>
      <w:r w:rsidRPr="00B8566C">
        <w:rPr>
          <w:rFonts w:ascii="AkkuratStd" w:hAnsi="AkkuratStd"/>
          <w:b/>
          <w:bCs/>
          <w:color w:val="000000" w:themeColor="text1"/>
          <w:sz w:val="22"/>
          <w:szCs w:val="22"/>
        </w:rPr>
        <w:t xml:space="preserve">Study </w:t>
      </w:r>
      <w:r>
        <w:rPr>
          <w:rFonts w:ascii="AkkuratStd" w:hAnsi="AkkuratStd"/>
          <w:b/>
          <w:bCs/>
          <w:color w:val="000000" w:themeColor="text1"/>
          <w:sz w:val="22"/>
          <w:szCs w:val="22"/>
        </w:rPr>
        <w:t>Design</w:t>
      </w:r>
    </w:p>
    <w:p w14:paraId="3B30C509" w14:textId="77777777" w:rsidR="00B8566C" w:rsidRDefault="00B8566C" w:rsidP="00B8566C">
      <w:pPr>
        <w:spacing w:line="360" w:lineRule="auto"/>
        <w:jc w:val="both"/>
        <w:rPr>
          <w:rFonts w:ascii="AkkuratStd" w:hAnsi="AkkuratStd"/>
          <w:sz w:val="22"/>
          <w:szCs w:val="22"/>
        </w:rPr>
      </w:pPr>
      <w:r w:rsidRPr="00B8566C">
        <w:rPr>
          <w:rFonts w:ascii="AkkuratStd" w:hAnsi="AkkuratStd"/>
          <w:sz w:val="22"/>
          <w:szCs w:val="22"/>
        </w:rPr>
        <w:t>This study was a retrospective cross-sectional study.</w:t>
      </w:r>
    </w:p>
    <w:p w14:paraId="704EE612" w14:textId="05DED87C" w:rsidR="00B8566C" w:rsidRPr="00B8566C" w:rsidRDefault="00B8566C" w:rsidP="00B8566C">
      <w:pPr>
        <w:pStyle w:val="Heading2"/>
        <w:spacing w:after="120" w:line="360" w:lineRule="auto"/>
        <w:rPr>
          <w:rFonts w:ascii="AkkuratStd" w:hAnsi="AkkuratStd"/>
          <w:b/>
          <w:bCs/>
          <w:color w:val="000000" w:themeColor="text1"/>
          <w:sz w:val="22"/>
          <w:szCs w:val="22"/>
        </w:rPr>
      </w:pPr>
      <w:r>
        <w:rPr>
          <w:rFonts w:ascii="AkkuratStd" w:hAnsi="AkkuratStd"/>
          <w:b/>
          <w:bCs/>
          <w:color w:val="000000" w:themeColor="text1"/>
          <w:sz w:val="22"/>
          <w:szCs w:val="22"/>
        </w:rPr>
        <w:lastRenderedPageBreak/>
        <w:t>Data Collection</w:t>
      </w:r>
    </w:p>
    <w:p w14:paraId="72D95D9D" w14:textId="2E92EA1A" w:rsidR="007C6A7C" w:rsidRDefault="00B8566C" w:rsidP="007C6A7C">
      <w:pPr>
        <w:spacing w:after="120" w:line="360" w:lineRule="auto"/>
        <w:jc w:val="both"/>
        <w:rPr>
          <w:rFonts w:ascii="AkkuratStd" w:hAnsi="AkkuratStd"/>
          <w:sz w:val="22"/>
          <w:szCs w:val="22"/>
        </w:rPr>
      </w:pPr>
      <w:r w:rsidRPr="00B8566C">
        <w:rPr>
          <w:rFonts w:ascii="AkkuratStd" w:hAnsi="AkkuratStd"/>
          <w:sz w:val="22"/>
          <w:szCs w:val="22"/>
        </w:rPr>
        <w:t xml:space="preserve">We extracted data from the World Health Organization (WHO) </w:t>
      </w:r>
      <w:proofErr w:type="spellStart"/>
      <w:r w:rsidRPr="00B8566C">
        <w:rPr>
          <w:rFonts w:ascii="AkkuratStd" w:hAnsi="AkkuratStd"/>
          <w:sz w:val="22"/>
          <w:szCs w:val="22"/>
        </w:rPr>
        <w:t>nCOV</w:t>
      </w:r>
      <w:proofErr w:type="spellEnd"/>
      <w:r w:rsidRPr="00B8566C">
        <w:rPr>
          <w:rFonts w:ascii="AkkuratStd" w:hAnsi="AkkuratStd"/>
          <w:sz w:val="22"/>
          <w:szCs w:val="22"/>
        </w:rPr>
        <w:t xml:space="preserve"> database platform (</w:t>
      </w:r>
      <w:proofErr w:type="spellStart"/>
      <w:r w:rsidRPr="00B8566C">
        <w:rPr>
          <w:rFonts w:ascii="AkkuratStd" w:hAnsi="AkkuratStd"/>
          <w:sz w:val="22"/>
          <w:szCs w:val="22"/>
        </w:rPr>
        <w:t>OpenClinica</w:t>
      </w:r>
      <w:proofErr w:type="spellEnd"/>
      <w:r w:rsidRPr="00B8566C">
        <w:rPr>
          <w:rFonts w:ascii="AkkuratStd" w:hAnsi="AkkuratStd"/>
          <w:sz w:val="22"/>
          <w:szCs w:val="22"/>
        </w:rPr>
        <w:t xml:space="preserve"> Electronic Data Capture [EDC] System) for 28 sites across 15 states in Nigeria (see Figure1). We</w:t>
      </w:r>
      <w:r w:rsidR="007C6A7C">
        <w:rPr>
          <w:rFonts w:ascii="AkkuratStd" w:hAnsi="AkkuratStd"/>
          <w:sz w:val="22"/>
          <w:szCs w:val="22"/>
        </w:rPr>
        <w:t xml:space="preserve"> </w:t>
      </w:r>
      <w:r w:rsidRPr="00B8566C">
        <w:rPr>
          <w:rFonts w:ascii="AkkuratStd" w:hAnsi="AkkuratStd"/>
          <w:sz w:val="22"/>
          <w:szCs w:val="22"/>
        </w:rPr>
        <w:t>retrieved data on date of admission, enrollment date,  demographic data (patients’ sex,  age,  health</w:t>
      </w:r>
      <w:r w:rsidR="007C6A7C">
        <w:rPr>
          <w:rFonts w:ascii="AkkuratStd" w:hAnsi="AkkuratStd"/>
          <w:sz w:val="22"/>
          <w:szCs w:val="22"/>
        </w:rPr>
        <w:t xml:space="preserve"> </w:t>
      </w:r>
      <w:r w:rsidRPr="00B8566C">
        <w:rPr>
          <w:rFonts w:ascii="AkkuratStd" w:hAnsi="AkkuratStd"/>
          <w:sz w:val="22"/>
          <w:szCs w:val="22"/>
        </w:rPr>
        <w:t>worker), data on pre-existing morbidity (chronic cardiac disease, hypertension, chronic pulmonary</w:t>
      </w:r>
      <w:r w:rsidR="007C6A7C">
        <w:rPr>
          <w:rFonts w:ascii="AkkuratStd" w:hAnsi="AkkuratStd"/>
          <w:sz w:val="22"/>
          <w:szCs w:val="22"/>
        </w:rPr>
        <w:t xml:space="preserve"> </w:t>
      </w:r>
      <w:r w:rsidR="007C6A7C" w:rsidRPr="007C6A7C">
        <w:rPr>
          <w:rFonts w:ascii="AkkuratStd" w:hAnsi="AkkuratStd"/>
          <w:sz w:val="22"/>
          <w:szCs w:val="22"/>
        </w:rPr>
        <w:t>disease, asthma, chronic kidney disease, chronic neurological disorder, HIV, diabetes, current smoking,  tuberculosis,  asplenia,  malignant  neoplasm),  pre-admission  and  chronic  medication  (ACE  inhibitors, angiotensin II receptor blockers, non-steroidal anti-inflammatory drugs in the 14 days prior</w:t>
      </w:r>
      <w:r w:rsidR="007C6A7C">
        <w:rPr>
          <w:rFonts w:ascii="AkkuratStd" w:hAnsi="AkkuratStd"/>
          <w:sz w:val="22"/>
          <w:szCs w:val="22"/>
        </w:rPr>
        <w:t xml:space="preserve"> </w:t>
      </w:r>
      <w:r w:rsidR="007C6A7C" w:rsidRPr="007C6A7C">
        <w:rPr>
          <w:rFonts w:ascii="AkkuratStd" w:hAnsi="AkkuratStd"/>
          <w:sz w:val="22"/>
          <w:szCs w:val="22"/>
        </w:rPr>
        <w:t>to admission), medications received on day of admission or following (antiviral, corticosteroid, chloroquine/hydroxychloroquine), admitted to ICU or HDU, supplemental oxygen given, use of non-invasive</w:t>
      </w:r>
      <w:r w:rsidR="007C6A7C">
        <w:rPr>
          <w:rFonts w:ascii="AkkuratStd" w:hAnsi="AkkuratStd"/>
          <w:sz w:val="22"/>
          <w:szCs w:val="22"/>
        </w:rPr>
        <w:t xml:space="preserve"> </w:t>
      </w:r>
      <w:r w:rsidR="007C6A7C" w:rsidRPr="007C6A7C">
        <w:rPr>
          <w:rFonts w:ascii="AkkuratStd" w:hAnsi="AkkuratStd"/>
          <w:sz w:val="22"/>
          <w:szCs w:val="22"/>
        </w:rPr>
        <w:t>ventilation, use of invasive ventilation, outcome (discharged alive, hospitalized, transfer to other facility, death, palliative discharge), and outcome date.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9020"/>
      </w:tblGrid>
      <w:tr w:rsidR="007C6A7C" w14:paraId="522E28F1" w14:textId="77777777" w:rsidTr="007C6A7C">
        <w:trPr>
          <w:jc w:val="center"/>
        </w:trPr>
        <w:tc>
          <w:tcPr>
            <w:tcW w:w="0" w:type="auto"/>
          </w:tcPr>
          <w:p w14:paraId="4222F56D" w14:textId="2133B69F" w:rsidR="007C6A7C" w:rsidRDefault="007C6A7C" w:rsidP="00B8566C">
            <w:pPr>
              <w:spacing w:line="360" w:lineRule="auto"/>
              <w:jc w:val="both"/>
              <w:rPr>
                <w:rFonts w:ascii="AkkuratStd" w:hAnsi="AkkuratStd"/>
                <w:sz w:val="22"/>
                <w:szCs w:val="22"/>
              </w:rPr>
            </w:pPr>
            <w:r>
              <w:rPr>
                <w:rFonts w:ascii="AkkuratStd" w:hAnsi="AkkuratStd"/>
                <w:noProof/>
                <w:sz w:val="22"/>
                <w:szCs w:val="22"/>
              </w:rPr>
              <w:drawing>
                <wp:inline distT="0" distB="0" distL="0" distR="0" wp14:anchorId="57F1B3C6" wp14:editId="6418E534">
                  <wp:extent cx="5727700" cy="48679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486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FA25B" w14:textId="35E9E7BF" w:rsidR="007C6A7C" w:rsidRDefault="007C6A7C" w:rsidP="007C6A7C">
      <w:pPr>
        <w:spacing w:after="240" w:line="360" w:lineRule="auto"/>
        <w:jc w:val="center"/>
        <w:rPr>
          <w:rFonts w:ascii="AkkuratStd" w:hAnsi="AkkuratStd"/>
          <w:sz w:val="22"/>
          <w:szCs w:val="22"/>
        </w:rPr>
      </w:pPr>
      <w:r w:rsidRPr="007C6A7C">
        <w:rPr>
          <w:rFonts w:ascii="AkkuratStd" w:hAnsi="AkkuratStd"/>
          <w:sz w:val="20"/>
          <w:szCs w:val="20"/>
        </w:rPr>
        <w:t>Figure 1: States with available data</w:t>
      </w:r>
    </w:p>
    <w:p w14:paraId="4C63BD7C" w14:textId="34708F79" w:rsidR="002D45CC" w:rsidRDefault="007C6A7C" w:rsidP="00B8566C">
      <w:pPr>
        <w:spacing w:line="360" w:lineRule="auto"/>
        <w:jc w:val="both"/>
        <w:rPr>
          <w:rFonts w:ascii="AkkuratStd" w:hAnsi="AkkuratStd"/>
          <w:sz w:val="22"/>
          <w:szCs w:val="22"/>
        </w:rPr>
      </w:pPr>
      <w:r w:rsidRPr="007C6A7C">
        <w:rPr>
          <w:rFonts w:ascii="AkkuratStd" w:hAnsi="AkkuratStd"/>
          <w:sz w:val="22"/>
          <w:szCs w:val="22"/>
        </w:rPr>
        <w:lastRenderedPageBreak/>
        <w:t xml:space="preserve">Following data cleaning, data </w:t>
      </w:r>
      <w:proofErr w:type="spellStart"/>
      <w:r w:rsidRPr="007C6A7C">
        <w:rPr>
          <w:rFonts w:ascii="AkkuratStd" w:hAnsi="AkkuratStd"/>
          <w:sz w:val="22"/>
          <w:szCs w:val="22"/>
        </w:rPr>
        <w:t>recoding</w:t>
      </w:r>
      <w:proofErr w:type="spellEnd"/>
      <w:r w:rsidRPr="007C6A7C">
        <w:rPr>
          <w:rFonts w:ascii="AkkuratStd" w:hAnsi="AkkuratStd"/>
          <w:sz w:val="22"/>
          <w:szCs w:val="22"/>
        </w:rPr>
        <w:t xml:space="preserve"> and</w:t>
      </w:r>
      <w:r>
        <w:rPr>
          <w:rFonts w:ascii="AkkuratStd" w:hAnsi="AkkuratStd"/>
          <w:sz w:val="22"/>
          <w:szCs w:val="22"/>
        </w:rPr>
        <w:t xml:space="preserve"> </w:t>
      </w:r>
      <w:r w:rsidRPr="007C6A7C">
        <w:rPr>
          <w:rFonts w:ascii="AkkuratStd" w:hAnsi="AkkuratStd"/>
          <w:sz w:val="22"/>
          <w:szCs w:val="22"/>
        </w:rPr>
        <w:t>removal of missing observations we were left with 3,462 records for data analysis. Two states (Delta</w:t>
      </w:r>
      <w:r>
        <w:rPr>
          <w:rFonts w:ascii="AkkuratStd" w:hAnsi="AkkuratStd"/>
          <w:sz w:val="22"/>
          <w:szCs w:val="22"/>
        </w:rPr>
        <w:t xml:space="preserve"> </w:t>
      </w:r>
      <w:r w:rsidRPr="007C6A7C">
        <w:rPr>
          <w:rFonts w:ascii="AkkuratStd" w:hAnsi="AkkuratStd"/>
          <w:sz w:val="22"/>
          <w:szCs w:val="22"/>
        </w:rPr>
        <w:t>and Taraba) were excluded because the states each had less than 10 records: Delta (6), Taraba (1)</w:t>
      </w:r>
      <w:r>
        <w:rPr>
          <w:rFonts w:ascii="AkkuratStd" w:hAnsi="AkkuratStd"/>
          <w:sz w:val="22"/>
          <w:szCs w:val="22"/>
        </w:rPr>
        <w:t>.</w:t>
      </w:r>
    </w:p>
    <w:p w14:paraId="5AFF1A13" w14:textId="4D6C6F91" w:rsidR="00636EC1" w:rsidRPr="00B8566C" w:rsidRDefault="00636EC1" w:rsidP="00636EC1">
      <w:pPr>
        <w:pStyle w:val="Heading2"/>
        <w:spacing w:after="120" w:line="360" w:lineRule="auto"/>
        <w:rPr>
          <w:rFonts w:ascii="AkkuratStd" w:hAnsi="AkkuratStd"/>
          <w:b/>
          <w:bCs/>
          <w:color w:val="000000" w:themeColor="text1"/>
          <w:sz w:val="22"/>
          <w:szCs w:val="22"/>
        </w:rPr>
      </w:pPr>
      <w:r>
        <w:rPr>
          <w:rFonts w:ascii="AkkuratStd" w:hAnsi="AkkuratStd"/>
          <w:b/>
          <w:bCs/>
          <w:color w:val="000000" w:themeColor="text1"/>
          <w:sz w:val="22"/>
          <w:szCs w:val="22"/>
        </w:rPr>
        <w:t>Study</w:t>
      </w:r>
      <w:r>
        <w:rPr>
          <w:rFonts w:ascii="AkkuratStd" w:hAnsi="AkkuratStd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AkkuratStd" w:hAnsi="AkkuratStd"/>
          <w:b/>
          <w:bCs/>
          <w:color w:val="000000" w:themeColor="text1"/>
          <w:sz w:val="22"/>
          <w:szCs w:val="22"/>
        </w:rPr>
        <w:t>Variables</w:t>
      </w:r>
    </w:p>
    <w:p w14:paraId="7638570B" w14:textId="77777777" w:rsidR="00636EC1" w:rsidRDefault="00636EC1" w:rsidP="00B8566C">
      <w:pPr>
        <w:spacing w:line="360" w:lineRule="auto"/>
        <w:jc w:val="both"/>
        <w:rPr>
          <w:rFonts w:ascii="AkkuratStd" w:hAnsi="AkkuratStd"/>
          <w:sz w:val="22"/>
          <w:szCs w:val="22"/>
        </w:rPr>
      </w:pPr>
      <w:r w:rsidRPr="00636EC1">
        <w:rPr>
          <w:rFonts w:ascii="AkkuratStd" w:hAnsi="AkkuratStd"/>
          <w:sz w:val="22"/>
          <w:szCs w:val="22"/>
        </w:rPr>
        <w:t>The primary study outcome was death for a PCR confirmed infection with SARS-C</w:t>
      </w:r>
      <w:r>
        <w:rPr>
          <w:rFonts w:ascii="AkkuratStd" w:hAnsi="AkkuratStd"/>
          <w:sz w:val="22"/>
          <w:szCs w:val="22"/>
        </w:rPr>
        <w:t>o</w:t>
      </w:r>
      <w:r w:rsidRPr="00636EC1">
        <w:rPr>
          <w:rFonts w:ascii="AkkuratStd" w:hAnsi="AkkuratStd"/>
          <w:sz w:val="22"/>
          <w:szCs w:val="22"/>
        </w:rPr>
        <w:t>V-2 virus.  The</w:t>
      </w:r>
      <w:r>
        <w:rPr>
          <w:rFonts w:ascii="AkkuratStd" w:hAnsi="AkkuratStd"/>
          <w:sz w:val="22"/>
          <w:szCs w:val="22"/>
        </w:rPr>
        <w:t xml:space="preserve"> </w:t>
      </w:r>
      <w:r w:rsidRPr="00636EC1">
        <w:rPr>
          <w:rFonts w:ascii="AkkuratStd" w:hAnsi="AkkuratStd"/>
          <w:sz w:val="22"/>
          <w:szCs w:val="22"/>
        </w:rPr>
        <w:t>secondary study outcome was time from enrollment to death. We coded the primary study outcome</w:t>
      </w:r>
      <w:r>
        <w:rPr>
          <w:rFonts w:ascii="AkkuratStd" w:hAnsi="AkkuratStd"/>
          <w:sz w:val="22"/>
          <w:szCs w:val="22"/>
        </w:rPr>
        <w:t xml:space="preserve"> </w:t>
      </w:r>
      <w:r w:rsidRPr="00636EC1">
        <w:rPr>
          <w:rFonts w:ascii="AkkuratStd" w:hAnsi="AkkuratStd"/>
          <w:sz w:val="22"/>
          <w:szCs w:val="22"/>
        </w:rPr>
        <w:t xml:space="preserve">as 1 if the patient died or 0 if outcome was censored. Time following admission was </w:t>
      </w:r>
      <w:r w:rsidRPr="00636EC1">
        <w:rPr>
          <w:rFonts w:ascii="AkkuratStd" w:hAnsi="AkkuratStd"/>
          <w:sz w:val="22"/>
          <w:szCs w:val="22"/>
        </w:rPr>
        <w:t>right censored</w:t>
      </w:r>
      <w:r w:rsidRPr="00636EC1">
        <w:rPr>
          <w:rFonts w:ascii="AkkuratStd" w:hAnsi="AkkuratStd"/>
          <w:sz w:val="22"/>
          <w:szCs w:val="22"/>
        </w:rPr>
        <w:t xml:space="preserve"> at</w:t>
      </w:r>
      <w:r>
        <w:rPr>
          <w:rFonts w:ascii="AkkuratStd" w:hAnsi="AkkuratStd"/>
          <w:sz w:val="22"/>
          <w:szCs w:val="22"/>
        </w:rPr>
        <w:t xml:space="preserve"> </w:t>
      </w:r>
      <w:r w:rsidRPr="00636EC1">
        <w:rPr>
          <w:rFonts w:ascii="AkkuratStd" w:hAnsi="AkkuratStd"/>
          <w:sz w:val="22"/>
          <w:szCs w:val="22"/>
        </w:rPr>
        <w:t>84 days post-enrollment. The main explanatory variable was severity of disease. We defined severity</w:t>
      </w:r>
      <w:r>
        <w:rPr>
          <w:rFonts w:ascii="AkkuratStd" w:hAnsi="AkkuratStd"/>
          <w:sz w:val="22"/>
          <w:szCs w:val="22"/>
        </w:rPr>
        <w:t xml:space="preserve"> </w:t>
      </w:r>
      <w:r w:rsidRPr="00636EC1">
        <w:rPr>
          <w:rFonts w:ascii="AkkuratStd" w:hAnsi="AkkuratStd"/>
          <w:sz w:val="22"/>
          <w:szCs w:val="22"/>
        </w:rPr>
        <w:t>of disease as a composite score derived from any or all of:</w:t>
      </w:r>
    </w:p>
    <w:p w14:paraId="03DC3200" w14:textId="77777777" w:rsidR="00636EC1" w:rsidRDefault="00636EC1" w:rsidP="00636E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kkuratStd" w:hAnsi="AkkuratStd"/>
          <w:sz w:val="22"/>
          <w:szCs w:val="22"/>
        </w:rPr>
      </w:pPr>
      <w:r w:rsidRPr="00636EC1">
        <w:rPr>
          <w:rFonts w:ascii="AkkuratStd" w:hAnsi="AkkuratStd"/>
          <w:sz w:val="22"/>
          <w:szCs w:val="22"/>
        </w:rPr>
        <w:t>Received supplemental oxygen therapy on any day during hospitalization,</w:t>
      </w:r>
    </w:p>
    <w:p w14:paraId="5D3CEFFE" w14:textId="36C27283" w:rsidR="00636EC1" w:rsidRDefault="00636EC1" w:rsidP="00636E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kkuratStd" w:hAnsi="AkkuratStd"/>
          <w:sz w:val="22"/>
          <w:szCs w:val="22"/>
        </w:rPr>
      </w:pPr>
      <w:r w:rsidRPr="00636EC1">
        <w:rPr>
          <w:rFonts w:ascii="AkkuratStd" w:hAnsi="AkkuratStd"/>
          <w:sz w:val="22"/>
          <w:szCs w:val="22"/>
        </w:rPr>
        <w:t>Admitted to the ICU or HDU at any point during hospital stay,</w:t>
      </w:r>
    </w:p>
    <w:p w14:paraId="53798508" w14:textId="77F15F8A" w:rsidR="00636EC1" w:rsidRDefault="00636EC1" w:rsidP="00636E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kkuratStd" w:hAnsi="AkkuratStd"/>
          <w:sz w:val="22"/>
          <w:szCs w:val="22"/>
        </w:rPr>
      </w:pPr>
      <w:r w:rsidRPr="00636EC1">
        <w:rPr>
          <w:rFonts w:ascii="AkkuratStd" w:hAnsi="AkkuratStd"/>
          <w:sz w:val="22"/>
          <w:szCs w:val="22"/>
        </w:rPr>
        <w:t>Received non-invasive ventilation (CPAP/BIPAP) on any day during hospitalization, and</w:t>
      </w:r>
    </w:p>
    <w:p w14:paraId="46BB8CF1" w14:textId="77777777" w:rsidR="00636EC1" w:rsidRDefault="00636EC1" w:rsidP="00636E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kkuratStd" w:hAnsi="AkkuratStd"/>
          <w:sz w:val="22"/>
          <w:szCs w:val="22"/>
        </w:rPr>
      </w:pPr>
      <w:r w:rsidRPr="00636EC1">
        <w:rPr>
          <w:rFonts w:ascii="AkkuratStd" w:hAnsi="AkkuratStd"/>
          <w:sz w:val="22"/>
          <w:szCs w:val="22"/>
        </w:rPr>
        <w:t>Received invasive ventilation (mechanical ventilator) on any day during hospitalization</w:t>
      </w:r>
      <w:r>
        <w:rPr>
          <w:rFonts w:ascii="AkkuratStd" w:hAnsi="AkkuratStd"/>
          <w:sz w:val="22"/>
          <w:szCs w:val="22"/>
        </w:rPr>
        <w:t>.</w:t>
      </w:r>
    </w:p>
    <w:p w14:paraId="5CAFE0C8" w14:textId="0D19AE5A" w:rsidR="00636EC1" w:rsidRDefault="00636EC1" w:rsidP="00636EC1">
      <w:pPr>
        <w:spacing w:line="360" w:lineRule="auto"/>
        <w:ind w:left="359"/>
        <w:jc w:val="both"/>
        <w:rPr>
          <w:rFonts w:ascii="AkkuratStd" w:hAnsi="AkkuratStd"/>
          <w:sz w:val="22"/>
          <w:szCs w:val="22"/>
        </w:rPr>
      </w:pPr>
      <w:r w:rsidRPr="00636EC1">
        <w:rPr>
          <w:rFonts w:ascii="AkkuratStd" w:hAnsi="AkkuratStd"/>
          <w:sz w:val="22"/>
          <w:szCs w:val="22"/>
        </w:rPr>
        <w:t>These variables were assigned a score of 1 if reported in the database or 0, otherwise. The severity</w:t>
      </w:r>
      <w:r>
        <w:rPr>
          <w:rFonts w:ascii="AkkuratStd" w:hAnsi="AkkuratStd"/>
          <w:sz w:val="22"/>
          <w:szCs w:val="22"/>
        </w:rPr>
        <w:t xml:space="preserve"> </w:t>
      </w:r>
      <w:r w:rsidRPr="00636EC1">
        <w:rPr>
          <w:rFonts w:ascii="AkkuratStd" w:hAnsi="AkkuratStd"/>
          <w:sz w:val="22"/>
          <w:szCs w:val="22"/>
        </w:rPr>
        <w:t>score was calculated as the sum of these individual scores with a range of 0 to 4. The other explanatory variables were demographic (age, sex, healthcare worker), pre-existing morbidity, malaria, HIV</w:t>
      </w:r>
      <w:r>
        <w:rPr>
          <w:rFonts w:ascii="AkkuratStd" w:hAnsi="AkkuratStd"/>
          <w:sz w:val="22"/>
          <w:szCs w:val="22"/>
        </w:rPr>
        <w:t xml:space="preserve"> </w:t>
      </w:r>
      <w:r w:rsidRPr="00636EC1">
        <w:rPr>
          <w:rFonts w:ascii="AkkuratStd" w:hAnsi="AkkuratStd"/>
          <w:sz w:val="22"/>
          <w:szCs w:val="22"/>
        </w:rPr>
        <w:t>infection, pre-admission and chronic medications, and medications received on admission or following admission. These explanatory variables were coded as 1 if reported or 0 if not reported or missing.</w:t>
      </w:r>
    </w:p>
    <w:p w14:paraId="14F1E344" w14:textId="4B6BFDF2" w:rsidR="00636EC1" w:rsidRPr="00B8566C" w:rsidRDefault="00636EC1" w:rsidP="00636EC1">
      <w:pPr>
        <w:pStyle w:val="Heading2"/>
        <w:spacing w:after="120" w:line="360" w:lineRule="auto"/>
        <w:rPr>
          <w:rFonts w:ascii="AkkuratStd" w:hAnsi="AkkuratStd"/>
          <w:b/>
          <w:bCs/>
          <w:color w:val="000000" w:themeColor="text1"/>
          <w:sz w:val="22"/>
          <w:szCs w:val="22"/>
        </w:rPr>
      </w:pPr>
      <w:r>
        <w:rPr>
          <w:rFonts w:ascii="AkkuratStd" w:hAnsi="AkkuratStd"/>
          <w:b/>
          <w:bCs/>
          <w:color w:val="000000" w:themeColor="text1"/>
          <w:sz w:val="22"/>
          <w:szCs w:val="22"/>
        </w:rPr>
        <w:t>Statistical</w:t>
      </w:r>
      <w:r>
        <w:rPr>
          <w:rFonts w:ascii="AkkuratStd" w:hAnsi="AkkuratStd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AkkuratStd" w:hAnsi="AkkuratStd"/>
          <w:b/>
          <w:bCs/>
          <w:color w:val="000000" w:themeColor="text1"/>
          <w:sz w:val="22"/>
          <w:szCs w:val="22"/>
        </w:rPr>
        <w:t>Analysi</w:t>
      </w:r>
      <w:r>
        <w:rPr>
          <w:rFonts w:ascii="AkkuratStd" w:hAnsi="AkkuratStd"/>
          <w:b/>
          <w:bCs/>
          <w:color w:val="000000" w:themeColor="text1"/>
          <w:sz w:val="22"/>
          <w:szCs w:val="22"/>
        </w:rPr>
        <w:t>s</w:t>
      </w:r>
    </w:p>
    <w:p w14:paraId="2D427588" w14:textId="5A3432EB" w:rsidR="00636EC1" w:rsidRPr="00636EC1" w:rsidRDefault="00636EC1" w:rsidP="00636EC1">
      <w:pPr>
        <w:pStyle w:val="Heading3"/>
        <w:spacing w:before="0" w:after="120" w:line="360" w:lineRule="auto"/>
        <w:rPr>
          <w:rFonts w:ascii="AkkuratStd" w:hAnsi="AkkuratStd"/>
          <w:color w:val="000000" w:themeColor="text1"/>
          <w:sz w:val="22"/>
          <w:szCs w:val="22"/>
        </w:rPr>
      </w:pPr>
      <w:r w:rsidRPr="00636EC1">
        <w:rPr>
          <w:rFonts w:ascii="AkkuratStd" w:hAnsi="AkkuratStd"/>
          <w:color w:val="000000" w:themeColor="text1"/>
          <w:sz w:val="22"/>
          <w:szCs w:val="22"/>
        </w:rPr>
        <w:t>Power calculation</w:t>
      </w:r>
      <w:r w:rsidR="00686E7D">
        <w:rPr>
          <w:rFonts w:ascii="AkkuratStd" w:hAnsi="AkkuratStd"/>
          <w:color w:val="000000" w:themeColor="text1"/>
          <w:sz w:val="22"/>
          <w:szCs w:val="22"/>
        </w:rPr>
        <w:t>1-</w:t>
      </w:r>
    </w:p>
    <w:p w14:paraId="02ABD408" w14:textId="565EEA24" w:rsidR="00636EC1" w:rsidRDefault="00636EC1" w:rsidP="00636EC1">
      <w:pPr>
        <w:spacing w:line="360" w:lineRule="auto"/>
        <w:jc w:val="both"/>
        <w:rPr>
          <w:rFonts w:ascii="AkkuratStd" w:hAnsi="AkkuratStd"/>
          <w:sz w:val="22"/>
          <w:szCs w:val="22"/>
        </w:rPr>
      </w:pPr>
      <w:r w:rsidRPr="00636EC1">
        <w:rPr>
          <w:rFonts w:ascii="AkkuratStd" w:hAnsi="AkkuratStd"/>
          <w:sz w:val="22"/>
          <w:szCs w:val="22"/>
        </w:rPr>
        <w:t xml:space="preserve">The relationship between the log odds of the mortality and </w:t>
      </w:r>
      <w:r w:rsidRPr="00636EC1">
        <w:rPr>
          <w:rFonts w:ascii="AkkuratStd" w:hAnsi="AkkuratStd"/>
          <w:i/>
          <w:iCs/>
          <w:sz w:val="22"/>
          <w:szCs w:val="22"/>
        </w:rPr>
        <w:t>k</w:t>
      </w:r>
      <w:r w:rsidRPr="00636EC1">
        <w:rPr>
          <w:rFonts w:ascii="AkkuratStd" w:hAnsi="AkkuratStd"/>
          <w:sz w:val="22"/>
          <w:szCs w:val="22"/>
        </w:rPr>
        <w:t xml:space="preserve"> explanatory variables may be modeled</w:t>
      </w:r>
      <w:r>
        <w:rPr>
          <w:rFonts w:ascii="AkkuratStd" w:hAnsi="AkkuratStd"/>
          <w:sz w:val="22"/>
          <w:szCs w:val="22"/>
        </w:rPr>
        <w:t xml:space="preserve"> </w:t>
      </w:r>
      <w:r w:rsidRPr="00636EC1">
        <w:rPr>
          <w:rFonts w:ascii="AkkuratStd" w:hAnsi="AkkuratStd"/>
          <w:sz w:val="22"/>
          <w:szCs w:val="22"/>
        </w:rPr>
        <w:t>thus:</w:t>
      </w:r>
    </w:p>
    <w:p w14:paraId="12494B43" w14:textId="0525693C" w:rsidR="003955BF" w:rsidRDefault="00686E7D" w:rsidP="00636EC1">
      <w:pPr>
        <w:spacing w:line="360" w:lineRule="auto"/>
        <w:jc w:val="both"/>
        <w:rPr>
          <w:rFonts w:ascii="AkkuratStd" w:hAnsi="AkkuratStd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1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p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+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⋯ 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sub>
          </m:sSub>
        </m:oMath>
      </m:oMathPara>
    </w:p>
    <w:p w14:paraId="3E90194C" w14:textId="7EC3F35D" w:rsidR="003955BF" w:rsidRDefault="003955BF" w:rsidP="00636EC1">
      <w:pPr>
        <w:spacing w:line="360" w:lineRule="auto"/>
        <w:jc w:val="both"/>
        <w:rPr>
          <w:rFonts w:ascii="AkkuratStd" w:hAnsi="AkkuratStd"/>
          <w:sz w:val="22"/>
          <w:szCs w:val="22"/>
        </w:rPr>
      </w:pPr>
      <w:r w:rsidRPr="003955BF">
        <w:rPr>
          <w:rFonts w:ascii="AkkuratStd" w:hAnsi="AkkuratStd"/>
          <w:sz w:val="22"/>
          <w:szCs w:val="22"/>
        </w:rPr>
        <w:t>The main explanatory covariate was severity score assumed to be normally distributed based on the</w:t>
      </w:r>
      <w:r>
        <w:rPr>
          <w:rFonts w:ascii="AkkuratStd" w:hAnsi="AkkuratStd"/>
          <w:sz w:val="22"/>
          <w:szCs w:val="22"/>
        </w:rPr>
        <w:t xml:space="preserve"> </w:t>
      </w:r>
      <w:r w:rsidRPr="003955BF">
        <w:rPr>
          <w:rFonts w:ascii="AkkuratStd" w:hAnsi="AkkuratStd"/>
          <w:sz w:val="22"/>
          <w:szCs w:val="22"/>
        </w:rPr>
        <w:t>central limit theorem.  Given two-sided testing of</w:t>
      </w:r>
      <w:r>
        <w:rPr>
          <w:rFonts w:ascii="Malgun Gothic" w:eastAsia="Malgun Gothic" w:hAnsi="Malgun Gothic" w:cs="Malgun Gothic" w:hint="eastAsia"/>
          <w:sz w:val="22"/>
          <w:szCs w:val="22"/>
        </w:rPr>
        <w:t xml:space="preserve"> </w:t>
      </w:r>
      <w:r>
        <w:rPr>
          <w:rFonts w:ascii="Malgun Gothic" w:eastAsia="Malgun Gothic" w:hAnsi="Malgun Gothic" w:cs="Malgun Gothic"/>
          <w:sz w:val="22"/>
          <w:szCs w:val="22"/>
        </w:rPr>
        <w:t>H</w:t>
      </w:r>
      <w:r w:rsidRPr="003955BF">
        <w:rPr>
          <w:rFonts w:ascii="AkkuratStd" w:hAnsi="AkkuratStd"/>
          <w:sz w:val="22"/>
          <w:szCs w:val="22"/>
          <w:vertAlign w:val="subscript"/>
        </w:rPr>
        <w:t>0</w:t>
      </w:r>
      <w:r w:rsidRPr="003955BF">
        <w:rPr>
          <w:rFonts w:ascii="Cambria Math" w:hAnsi="Cambria Math" w:cs="Cambria Math"/>
          <w:sz w:val="22"/>
          <w:szCs w:val="22"/>
        </w:rPr>
        <w:t>∶</w:t>
      </w:r>
      <w:r w:rsidRPr="003955BF">
        <w:rPr>
          <w:rFonts w:ascii="AkkuratStd" w:hAnsi="AkkuratStd"/>
          <w:sz w:val="22"/>
          <w:szCs w:val="22"/>
        </w:rPr>
        <w:t xml:space="preserve"> </w:t>
      </w:r>
      <w:r w:rsidRPr="003955BF">
        <w:rPr>
          <w:rFonts w:ascii="Malgun Gothic" w:eastAsia="Malgun Gothic" w:hAnsi="Malgun Gothic" w:cs="Malgun Gothic" w:hint="eastAsia"/>
          <w:i/>
          <w:iCs/>
          <w:sz w:val="22"/>
          <w:szCs w:val="22"/>
        </w:rPr>
        <w:t>β</w:t>
      </w:r>
      <w:proofErr w:type="spellStart"/>
      <w:r w:rsidRPr="003955BF">
        <w:rPr>
          <w:rFonts w:ascii="Malgun Gothic" w:eastAsia="Malgun Gothic" w:hAnsi="Malgun Gothic" w:cs="Malgun Gothic" w:hint="eastAsia"/>
          <w:sz w:val="22"/>
          <w:szCs w:val="22"/>
          <w:vertAlign w:val="subscript"/>
        </w:rPr>
        <w:t>i</w:t>
      </w:r>
      <w:proofErr w:type="spellEnd"/>
      <w:r>
        <w:rPr>
          <w:rFonts w:ascii="Malgun Gothic" w:eastAsia="Malgun Gothic" w:hAnsi="Malgun Gothic" w:cs="Malgun Gothic"/>
          <w:sz w:val="22"/>
          <w:szCs w:val="22"/>
          <w:vertAlign w:val="subscript"/>
        </w:rPr>
        <w:t xml:space="preserve"> </w:t>
      </w:r>
      <w:r w:rsidRPr="003955BF">
        <w:rPr>
          <w:rFonts w:ascii="AkkuratStd" w:hAnsi="AkkuratStd"/>
          <w:sz w:val="22"/>
          <w:szCs w:val="22"/>
        </w:rPr>
        <w:t>= 0</w:t>
      </w:r>
      <w:r>
        <w:rPr>
          <w:rFonts w:ascii="AkkuratStd" w:hAnsi="AkkuratStd"/>
          <w:sz w:val="22"/>
          <w:szCs w:val="22"/>
        </w:rPr>
        <w:t xml:space="preserve"> </w:t>
      </w:r>
      <w:r w:rsidRPr="003955BF">
        <w:rPr>
          <w:rFonts w:ascii="AkkuratStd" w:hAnsi="AkkuratStd"/>
          <w:sz w:val="22"/>
          <w:szCs w:val="22"/>
        </w:rPr>
        <w:t>on the log scale versus</w:t>
      </w:r>
      <w:r>
        <w:rPr>
          <w:rFonts w:ascii="AkkuratStd" w:hAnsi="AkkuratStd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sz w:val="22"/>
          <w:szCs w:val="22"/>
        </w:rPr>
        <w:t>H</w:t>
      </w:r>
      <w:r w:rsidRPr="003955BF">
        <w:rPr>
          <w:rFonts w:ascii="AkkuratStd" w:hAnsi="AkkuratStd"/>
          <w:sz w:val="22"/>
          <w:szCs w:val="22"/>
          <w:vertAlign w:val="subscript"/>
        </w:rPr>
        <w:t>1</w:t>
      </w:r>
      <w:r w:rsidRPr="003955BF">
        <w:rPr>
          <w:rFonts w:ascii="Cambria Math" w:hAnsi="Cambria Math" w:cs="Cambria Math"/>
          <w:sz w:val="22"/>
          <w:szCs w:val="22"/>
        </w:rPr>
        <w:t>∶</w:t>
      </w:r>
      <w:r>
        <w:rPr>
          <w:rFonts w:ascii="AkkuratStd" w:hAnsi="AkkuratStd"/>
          <w:sz w:val="22"/>
          <w:szCs w:val="22"/>
        </w:rPr>
        <w:t xml:space="preserve"> </w:t>
      </w:r>
      <w:r w:rsidRPr="003955BF">
        <w:rPr>
          <w:rFonts w:ascii="Malgun Gothic" w:eastAsia="Malgun Gothic" w:hAnsi="Malgun Gothic" w:cs="Malgun Gothic" w:hint="eastAsia"/>
          <w:i/>
          <w:iCs/>
          <w:sz w:val="22"/>
          <w:szCs w:val="22"/>
        </w:rPr>
        <w:t>β</w:t>
      </w:r>
      <w:proofErr w:type="spellStart"/>
      <w:r w:rsidRPr="003955BF">
        <w:rPr>
          <w:rFonts w:ascii="Malgun Gothic" w:eastAsia="Malgun Gothic" w:hAnsi="Malgun Gothic" w:cs="Malgun Gothic" w:hint="eastAsia"/>
          <w:sz w:val="22"/>
          <w:szCs w:val="22"/>
          <w:vertAlign w:val="subscript"/>
        </w:rPr>
        <w:t>i</w:t>
      </w:r>
      <w:proofErr w:type="spellEnd"/>
      <w:r>
        <w:rPr>
          <w:rFonts w:ascii="Malgun Gothic" w:eastAsia="Malgun Gothic" w:hAnsi="Malgun Gothic" w:cs="Malgun Gothic"/>
          <w:sz w:val="22"/>
          <w:szCs w:val="22"/>
          <w:vertAlign w:val="subscript"/>
        </w:rPr>
        <w:t xml:space="preserve"> </w:t>
      </w:r>
      <w:r w:rsidRPr="003955BF">
        <w:rPr>
          <w:rFonts w:ascii="AkkuratStd" w:hAnsi="AkkuratStd"/>
          <w:sz w:val="22"/>
          <w:szCs w:val="22"/>
        </w:rPr>
        <w:t>≠ 0</w:t>
      </w:r>
      <w:r>
        <w:rPr>
          <w:rFonts w:ascii="AkkuratStd" w:hAnsi="AkkuratStd"/>
          <w:sz w:val="22"/>
          <w:szCs w:val="22"/>
        </w:rPr>
        <w:t xml:space="preserve">, then </w:t>
      </w:r>
      <w:r w:rsidRPr="003955BF">
        <w:rPr>
          <w:rFonts w:ascii="AkkuratStd" w:hAnsi="AkkuratStd"/>
          <w:sz w:val="22"/>
          <w:szCs w:val="22"/>
        </w:rPr>
        <w:t>the minimum sample size is according to Hsieh et al.,</w:t>
      </w:r>
      <w:r>
        <w:rPr>
          <w:rStyle w:val="EndnoteReference"/>
          <w:rFonts w:ascii="AkkuratStd" w:hAnsi="AkkuratStd"/>
          <w:sz w:val="22"/>
          <w:szCs w:val="22"/>
        </w:rPr>
        <w:endnoteReference w:id="1"/>
      </w:r>
      <w:r>
        <w:rPr>
          <w:rFonts w:ascii="AkkuratStd" w:hAnsi="AkkuratStd"/>
          <w:sz w:val="22"/>
          <w:szCs w:val="22"/>
        </w:rPr>
        <w:t xml:space="preserve"> </w:t>
      </w:r>
      <w:r w:rsidRPr="003955BF">
        <w:rPr>
          <w:rFonts w:ascii="AkkuratStd" w:hAnsi="AkkuratStd"/>
          <w:sz w:val="22"/>
          <w:szCs w:val="22"/>
        </w:rPr>
        <w:t>given by</w:t>
      </w:r>
      <w:r w:rsidR="00686E7D">
        <w:rPr>
          <w:rFonts w:ascii="AkkuratStd" w:hAnsi="AkkuratStd"/>
          <w:sz w:val="22"/>
          <w:szCs w:val="22"/>
        </w:rPr>
        <w:t>:</w:t>
      </w:r>
    </w:p>
    <w:p w14:paraId="3E5C30B2" w14:textId="060302DE" w:rsidR="00686E7D" w:rsidRDefault="00053493" w:rsidP="00636EC1">
      <w:pPr>
        <w:spacing w:line="360" w:lineRule="auto"/>
        <w:jc w:val="both"/>
        <w:rPr>
          <w:rFonts w:ascii="AkkuratStd" w:hAnsi="AkkuratStd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n</m:t>
          </m:r>
          <m:r>
            <w:rPr>
              <w:rFonts w:ascii="Cambria Math" w:hAnsi="Cambria Math"/>
              <w:sz w:val="22"/>
              <w:szCs w:val="22"/>
            </w:rPr>
            <m:t> = 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α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γ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1-p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β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</m:oMath>
      </m:oMathPara>
    </w:p>
    <w:p w14:paraId="34D4F47A" w14:textId="77777777" w:rsidR="003955BF" w:rsidRPr="00636EC1" w:rsidRDefault="003955BF" w:rsidP="00636EC1">
      <w:pPr>
        <w:spacing w:line="360" w:lineRule="auto"/>
        <w:jc w:val="both"/>
        <w:rPr>
          <w:rFonts w:ascii="AkkuratStd" w:hAnsi="AkkuratStd"/>
          <w:sz w:val="22"/>
          <w:szCs w:val="22"/>
        </w:rPr>
      </w:pPr>
    </w:p>
    <w:sectPr w:rsidR="003955BF" w:rsidRPr="00636EC1" w:rsidSect="00A245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175DB" w14:textId="77777777" w:rsidR="00BE1585" w:rsidRDefault="00BE1585" w:rsidP="003955BF">
      <w:r>
        <w:separator/>
      </w:r>
    </w:p>
  </w:endnote>
  <w:endnote w:type="continuationSeparator" w:id="0">
    <w:p w14:paraId="21515D40" w14:textId="77777777" w:rsidR="00BE1585" w:rsidRDefault="00BE1585" w:rsidP="003955BF">
      <w:r>
        <w:continuationSeparator/>
      </w:r>
    </w:p>
  </w:endnote>
  <w:endnote w:id="1">
    <w:p w14:paraId="5FDDE115" w14:textId="0AD6A32C" w:rsidR="003955BF" w:rsidRPr="007C4A09" w:rsidRDefault="003955BF">
      <w:pPr>
        <w:pStyle w:val="EndnoteText"/>
        <w:rPr>
          <w:rFonts w:ascii="AkkuratStd" w:hAnsi="AkkuratStd"/>
          <w:sz w:val="22"/>
          <w:szCs w:val="22"/>
        </w:rPr>
      </w:pPr>
      <w:r w:rsidRPr="007C4A09">
        <w:rPr>
          <w:rStyle w:val="EndnoteReference"/>
          <w:rFonts w:ascii="AkkuratStd" w:hAnsi="AkkuratStd"/>
          <w:sz w:val="22"/>
          <w:szCs w:val="22"/>
        </w:rPr>
        <w:endnoteRef/>
      </w:r>
      <w:r w:rsidRPr="007C4A09">
        <w:rPr>
          <w:rFonts w:ascii="AkkuratStd" w:hAnsi="AkkuratStd"/>
          <w:sz w:val="22"/>
          <w:szCs w:val="22"/>
        </w:rPr>
        <w:t xml:space="preserve"> </w:t>
      </w:r>
      <w:r w:rsidR="007C4A09" w:rsidRPr="007C4A09">
        <w:rPr>
          <w:rFonts w:ascii="AkkuratStd" w:hAnsi="AkkuratStd"/>
          <w:sz w:val="22"/>
          <w:szCs w:val="22"/>
        </w:rPr>
        <w:t>Hsieh FY, Bloch DA, Larsen MD.A simple method of sample size calculation for linear and logistic regression. Statistics in Medicine. 1998;17(14):1623–34.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kkuratStd">
    <w:panose1 w:val="020B0504020101020102"/>
    <w:charset w:val="4D"/>
    <w:family w:val="swiss"/>
    <w:pitch w:val="variable"/>
    <w:sig w:usb0="800000AF" w:usb1="4000216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1A03C" w14:textId="77777777" w:rsidR="00BE1585" w:rsidRDefault="00BE1585" w:rsidP="003955BF">
      <w:r>
        <w:separator/>
      </w:r>
    </w:p>
  </w:footnote>
  <w:footnote w:type="continuationSeparator" w:id="0">
    <w:p w14:paraId="2AE20536" w14:textId="77777777" w:rsidR="00BE1585" w:rsidRDefault="00BE1585" w:rsidP="00395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F6FC6"/>
    <w:multiLevelType w:val="hybridMultilevel"/>
    <w:tmpl w:val="8586F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DE"/>
    <w:rsid w:val="00053493"/>
    <w:rsid w:val="001D3CDB"/>
    <w:rsid w:val="002D45CC"/>
    <w:rsid w:val="00357866"/>
    <w:rsid w:val="003955BF"/>
    <w:rsid w:val="00612A0B"/>
    <w:rsid w:val="00636EC1"/>
    <w:rsid w:val="00686E7D"/>
    <w:rsid w:val="007C4A09"/>
    <w:rsid w:val="007C6A7C"/>
    <w:rsid w:val="00A245DE"/>
    <w:rsid w:val="00B8566C"/>
    <w:rsid w:val="00BE1585"/>
    <w:rsid w:val="00EF11F6"/>
    <w:rsid w:val="00FF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F07B"/>
  <w15:chartTrackingRefBased/>
  <w15:docId w15:val="{18A662E0-1D8D-EF43-B7B1-6E39301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5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6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E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MyTOC 1"/>
    <w:basedOn w:val="Normal"/>
    <w:next w:val="Normal"/>
    <w:autoRedefine/>
    <w:uiPriority w:val="39"/>
    <w:unhideWhenUsed/>
    <w:rsid w:val="00FF293A"/>
    <w:pPr>
      <w:tabs>
        <w:tab w:val="right" w:leader="dot" w:pos="8630"/>
      </w:tabs>
      <w:snapToGrid w:val="0"/>
      <w:spacing w:line="480" w:lineRule="auto"/>
      <w:contextualSpacing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D4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E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6EC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3955B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55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D008ED-6931-0D41-BF10-115C3EF73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</dc:creator>
  <cp:keywords/>
  <dc:description/>
  <cp:lastModifiedBy>AO</cp:lastModifiedBy>
  <cp:revision>7</cp:revision>
  <dcterms:created xsi:type="dcterms:W3CDTF">2021-10-23T10:30:00Z</dcterms:created>
  <dcterms:modified xsi:type="dcterms:W3CDTF">2021-10-23T11:39:00Z</dcterms:modified>
</cp:coreProperties>
</file>