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6f8e1be423c4c265d696ab03184c1f2fb33f5bc"/>
    <w:p>
      <w:pPr>
        <w:pStyle w:val="Heading1"/>
      </w:pPr>
      <w:r>
        <w:t xml:space="preserve">Table 1: Network Activity Objectives Used for Model Calibration</w:t>
      </w:r>
    </w:p>
    <w:p>
      <w:pPr>
        <w:pStyle w:val="FirstParagraph"/>
      </w:pPr>
      <w:r>
        <w:t xml:space="preserve">This table summarizes the</w:t>
      </w:r>
      <w:r>
        <w:t xml:space="preserve"> </w:t>
      </w:r>
      <w:r>
        <w:rPr>
          <w:i/>
          <w:iCs/>
        </w:rPr>
        <w:t xml:space="preserve">objective terms</w:t>
      </w:r>
      <w:r>
        <w:t xml:space="preserve"> </w:t>
      </w:r>
      <w:r>
        <w:t xml:space="preserve">(fitness components) currently used to calibrate the</w:t>
      </w:r>
      <w:r>
        <w:t xml:space="preserve"> </w:t>
      </w:r>
      <w:r>
        <w:rPr>
          <w:b/>
          <w:bCs/>
        </w:rPr>
        <w:t xml:space="preserve">DIV21_FxHET</w:t>
      </w:r>
      <w:r>
        <w:t xml:space="preserve"> </w:t>
      </w:r>
      <w:r>
        <w:t xml:space="preserve">network model:</w:t>
      </w:r>
    </w:p>
    <w:p>
      <w:pPr>
        <w:pStyle w:val="Compact"/>
        <w:numPr>
          <w:ilvl w:val="0"/>
          <w:numId w:val="1001"/>
        </w:numPr>
      </w:pPr>
      <w:r>
        <w:t xml:space="preserve">Model folder:</w:t>
      </w:r>
      <w:r>
        <w:t xml:space="preserve"> </w:t>
      </w:r>
      <w:r>
        <w:rPr>
          <w:rStyle w:val="VerbatimChar"/>
        </w:rPr>
        <w:t xml:space="preserve">RBS_network_models/models/CDKL5_E6D_T2_C1_05212024/DIV21_FxHET</w:t>
      </w:r>
    </w:p>
    <w:p>
      <w:pPr>
        <w:pStyle w:val="Compact"/>
        <w:numPr>
          <w:ilvl w:val="0"/>
          <w:numId w:val="1001"/>
        </w:numPr>
      </w:pPr>
      <w:r>
        <w:t xml:space="preserve">Fitness function:</w:t>
      </w:r>
      <w:r>
        <w:t xml:space="preserve"> </w:t>
      </w:r>
      <w:r>
        <w:rPr>
          <w:rStyle w:val="VerbatimChar"/>
        </w:rPr>
        <w:t xml:space="preserve">RBS_network_models/fitnessFunc.py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fitnessFunc_v3()</w:t>
      </w:r>
    </w:p>
    <w:p>
      <w:pPr>
        <w:pStyle w:val="Compact"/>
        <w:numPr>
          <w:ilvl w:val="0"/>
          <w:numId w:val="1001"/>
        </w:numPr>
      </w:pPr>
      <w:r>
        <w:t xml:space="preserve">Fitness schema (objective selection + bounds/weights):</w:t>
      </w:r>
      <w:r>
        <w:t xml:space="preserve"> </w:t>
      </w:r>
      <w:r>
        <w:rPr>
          <w:rStyle w:val="VerbatimChar"/>
        </w:rPr>
        <w:t xml:space="preserve">RBS_network_models/models/CDKL5_E6D_T2_C1_05212024/DIV21_FxHET/fitness_schema/schema_2.py</w:t>
      </w:r>
    </w:p>
    <w:p>
      <w:pPr>
        <w:pStyle w:val="FirstParagraph"/>
      </w:pPr>
      <w:r>
        <w:rPr>
          <w:b/>
          <w:bCs/>
        </w:rPr>
        <w:t xml:space="preserve">How targets are set:</w:t>
      </w:r>
      <w:r>
        <w:t xml:space="preserve"> </w:t>
      </w:r>
      <w:r>
        <w:t xml:space="preserve">for any metric listed below, the</w:t>
      </w:r>
      <w:r>
        <w:t xml:space="preserve"> </w:t>
      </w:r>
      <w:r>
        <w:rPr>
          <w:i/>
          <w:iCs/>
        </w:rPr>
        <w:t xml:space="preserve">target value</w:t>
      </w:r>
      <w:r>
        <w:t xml:space="preserve"> </w:t>
      </w:r>
      <w:r>
        <w:t xml:space="preserve">is the corresponding metric computed from the Aim 1 HD-MEA recording (loaded from a</w:t>
      </w:r>
      <w:r>
        <w:t xml:space="preserve"> </w:t>
      </w:r>
      <w:r>
        <w:rPr>
          <w:rStyle w:val="VerbatimChar"/>
        </w:rPr>
        <w:t xml:space="preserve">metrics.npy</w:t>
      </w:r>
      <w:r>
        <w:t xml:space="preserve"> </w:t>
      </w:r>
      <w:r>
        <w:t xml:space="preserve">file referenced by the run scripts, e.g. </w:t>
      </w:r>
      <w:r>
        <w:rPr>
          <w:rStyle w:val="VerbatimChar"/>
        </w:rPr>
        <w:t xml:space="preserve">refit_batch.py</w:t>
      </w:r>
      <w:r>
        <w:t xml:space="preserve">). The schema provides the scoring bounds (</w:t>
      </w:r>
      <w:r>
        <w:rPr>
          <w:rStyle w:val="VerbatimChar"/>
        </w:rPr>
        <w:t xml:space="preserve">min_val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max_val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fitnessFunc_v3()</w:t>
      </w:r>
      <w:r>
        <w:t xml:space="preserve"> </w:t>
      </w:r>
      <w:r>
        <w:t xml:space="preserve">scores deviation from the experimental target using an asymmetric parabolic curve.</w:t>
      </w:r>
    </w:p>
    <w:p>
      <w:pPr>
        <w:pStyle w:val="BlockText"/>
      </w:pPr>
      <w:r>
        <w:t xml:space="preserve">Note: Classic network-burst descriptors such as inter-burst interval (IBI) and burst duration exist in the metric structure, but are currently</w:t>
      </w:r>
      <w:r>
        <w:t xml:space="preserve"> </w:t>
      </w:r>
      <w:r>
        <w:rPr>
          <w:i/>
          <w:iCs/>
        </w:rPr>
        <w:t xml:space="preserve">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include: False</w:t>
      </w:r>
      <w:r>
        <w:t xml:space="preserve">) in this schema for DIV21_FxHET.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 term (schema path)</w:t>
            </w:r>
          </w:p>
        </w:tc>
        <w:tc>
          <w:tcPr/>
          <w:p>
            <w:pPr>
              <w:pStyle w:val="Compact"/>
            </w:pPr>
            <w:r>
              <w:t xml:space="preserve">What it measures (Aim 1 network metric)</w:t>
            </w:r>
          </w:p>
        </w:tc>
        <w:tc>
          <w:tcPr/>
          <w:p>
            <w:pPr>
              <w:pStyle w:val="Compact"/>
            </w:pPr>
            <w:r>
              <w:t xml:space="preserve">Experimental target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Scoring bounds in schema (</w:t>
            </w:r>
            <w:r>
              <w:rPr>
                <w:rStyle w:val="VerbatimChar"/>
              </w:rPr>
              <w:t xml:space="preserve">min_val</w:t>
            </w:r>
            <w:r>
              <w:t xml:space="preserve">→</w:t>
            </w:r>
            <w:r>
              <w:rPr>
                <w:rStyle w:val="VerbatimChar"/>
              </w:rPr>
              <w:t xml:space="preserve">max_val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spiking_data.i_frs</w:t>
            </w:r>
          </w:p>
        </w:tc>
        <w:tc>
          <w:tcPr/>
          <w:p>
            <w:pPr>
              <w:pStyle w:val="Compact"/>
            </w:pPr>
            <w:r>
              <w:t xml:space="preserve">Mean inhibitory-unit firing rate (spikes/s) across units labeled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  <w:r>
              <w:t xml:space="preserve"> </w:t>
            </w:r>
            <w:r>
              <w:t xml:space="preserve">(key matches this path)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→ 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Included as a population-level excitability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spiking_data.e_frs</w:t>
            </w:r>
          </w:p>
        </w:tc>
        <w:tc>
          <w:tcPr/>
          <w:p>
            <w:pPr>
              <w:pStyle w:val="Compact"/>
            </w:pPr>
            <w:r>
              <w:t xml:space="preserve">Mean excitatory-unit firing rate (spikes/s) across units labeled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 → 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Helps anchor baseline E activity magnitude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spiking_data.num_e_firing</w:t>
            </w:r>
          </w:p>
        </w:tc>
        <w:tc>
          <w:tcPr/>
          <w:p>
            <w:pPr>
              <w:pStyle w:val="Compact"/>
            </w:pPr>
            <w:r>
              <w:t xml:space="preserve">Number of excitatory units that fired (count of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units with ≥1 spike)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 → 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notes “current target=203”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spiking_data.num_i_firing</w:t>
            </w:r>
          </w:p>
        </w:tc>
        <w:tc>
          <w:tcPr/>
          <w:p>
            <w:pPr>
              <w:pStyle w:val="Compact"/>
            </w:pPr>
            <w:r>
              <w:t xml:space="preserve">Number of inhibitory units that fired (count of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units with ≥1 spike)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→ 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notes “current target=98”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spiking_data.EI_fr_ratios</w:t>
            </w:r>
          </w:p>
        </w:tc>
        <w:tc>
          <w:tcPr/>
          <w:p>
            <w:pPr>
              <w:pStyle w:val="Compact"/>
            </w:pPr>
            <w:r>
              <w:t xml:space="preserve">Ratio of E/I firing rates (dimensionless)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→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notes “current target≈0.1674”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spiking_data.EI_spike_ratios</w:t>
            </w:r>
          </w:p>
        </w:tc>
        <w:tc>
          <w:tcPr/>
          <w:p>
            <w:pPr>
              <w:pStyle w:val="Compact"/>
            </w:pPr>
            <w:r>
              <w:t xml:space="preserve">Ratio of total E spikes / total I spikes (dimensionless)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→ 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Useful when matching overall E vs I 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mega_bursting_data.baseline</w:t>
            </w:r>
          </w:p>
        </w:tc>
        <w:tc>
          <w:tcPr/>
          <w:p>
            <w:pPr>
              <w:pStyle w:val="Compact"/>
            </w:pPr>
            <w:r>
              <w:t xml:space="preserve">Baseline level of the convolved “mega-burst” population signal (units depend on convolution normalization)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→ 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notes target “around 2.5”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mega_bursting_data.burst_metrics.burst_rate</w:t>
            </w:r>
          </w:p>
        </w:tc>
        <w:tc>
          <w:tcPr/>
          <w:p>
            <w:pPr>
              <w:pStyle w:val="Compact"/>
            </w:pPr>
            <w:r>
              <w:t xml:space="preserve">Mega-burst frequency (bursts/s) detected on the population signal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 → 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notes “current target≈0.1933”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mega_bursting_data.burst_metrics.burst_amp</w:t>
            </w:r>
          </w:p>
        </w:tc>
        <w:tc>
          <w:tcPr/>
          <w:p>
            <w:pPr>
              <w:pStyle w:val="Compact"/>
            </w:pPr>
            <w:r>
              <w:t xml:space="preserve">Mega-burst amplitude on the population signal (convolved units)</w:t>
            </w:r>
          </w:p>
        </w:tc>
        <w:tc>
          <w:tcPr/>
          <w:p>
            <w:pPr>
              <w:pStyle w:val="Compact"/>
            </w:pPr>
            <w:r>
              <w:t xml:space="preserve">From Aim 1</w:t>
            </w:r>
            <w:r>
              <w:t xml:space="preserve"> </w:t>
            </w:r>
            <w:r>
              <w:rPr>
                <w:rStyle w:val="VerbatimChar"/>
              </w:rPr>
              <w:t xml:space="preserve">metrics.npy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→ 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Schema comment includes mean/min/max (approx 4.64 / 1.78 / 9.52)</w:t>
            </w:r>
          </w:p>
        </w:tc>
      </w:tr>
    </w:tbl>
    <w:bookmarkStart w:id="9" w:name="Xe3f68ef3a199c0ecb273d0a292db4d82752cddf"/>
    <w:p>
      <w:pPr>
        <w:pStyle w:val="Heading2"/>
      </w:pPr>
      <w:r>
        <w:t xml:space="preserve">Metrics present but disabled in DIV21_FxHET</w:t>
      </w:r>
      <w:r>
        <w:t xml:space="preserve"> </w:t>
      </w:r>
      <w:r>
        <w:rPr>
          <w:rStyle w:val="VerbatimChar"/>
        </w:rPr>
        <w:t xml:space="preserve">schema_2</w:t>
      </w:r>
    </w:p>
    <w:p>
      <w:pPr>
        <w:pStyle w:val="FirstParagraph"/>
      </w:pPr>
      <w:r>
        <w:t xml:space="preserve">The following are common Aim 1 network metrics, but are currently turned off (</w:t>
      </w:r>
      <w:r>
        <w:rPr>
          <w:rStyle w:val="VerbatimChar"/>
        </w:rPr>
        <w:t xml:space="preserve">include: False</w:t>
      </w:r>
      <w:r>
        <w:t xml:space="preserve">) for this model’s calibration schema: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mega_bursting_data.burst_metrics.ibi</w:t>
      </w:r>
      <w:r>
        <w:t xml:space="preserve"> </w:t>
      </w:r>
      <w:r>
        <w:t xml:space="preserve">(inter-burst interval)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mega_bursting_data.burst_metrics.burst_duration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mega_bursting_data.burst_metrics.num_units_per_burst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mega_bursting_data.burst_metrics.in_burst_fr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spiking_data.frs</w:t>
      </w:r>
      <w:r>
        <w:t xml:space="preserve"> </w:t>
      </w:r>
      <w:r>
        <w:t xml:space="preserve">(overall/combined firing rate)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spiking_data.isi</w:t>
      </w:r>
      <w:r>
        <w:t xml:space="preserve">,</w:t>
      </w:r>
      <w:r>
        <w:t xml:space="preserve"> </w:t>
      </w:r>
      <w:r>
        <w:rPr>
          <w:rStyle w:val="VerbatimChar"/>
        </w:rPr>
        <w:t xml:space="preserve">spiking_data.e_isi</w:t>
      </w:r>
      <w:r>
        <w:t xml:space="preserve">,</w:t>
      </w:r>
      <w:r>
        <w:t xml:space="preserve"> </w:t>
      </w:r>
      <w:r>
        <w:rPr>
          <w:rStyle w:val="VerbatimChar"/>
        </w:rPr>
        <w:t xml:space="preserve">spiking_data.i_isi</w:t>
      </w:r>
    </w:p>
    <w:p>
      <w:pPr>
        <w:pStyle w:val="FirstParagraph"/>
      </w:pPr>
      <w:r>
        <w:t xml:space="preserve">If you want Table 1 to include</w:t>
      </w:r>
      <w:r>
        <w:t xml:space="preserve"> </w:t>
      </w:r>
      <w:r>
        <w:rPr>
          <w:i/>
          <w:iCs/>
        </w:rPr>
        <w:t xml:space="preserve">burst duration, IBI, synchronization index,</w:t>
      </w:r>
      <w:r>
        <w:t xml:space="preserve"> </w:t>
      </w:r>
      <w:r>
        <w:t xml:space="preserve">etc. as explicit calibration objectives, the next step would be to enable them in the schema and (if needed) confirm the corresponding keys exist in the</w:t>
      </w:r>
      <w:r>
        <w:t xml:space="preserve"> </w:t>
      </w:r>
      <w:r>
        <w:rPr>
          <w:rStyle w:val="VerbatimChar"/>
        </w:rPr>
        <w:t xml:space="preserve">metrics.npy</w:t>
      </w:r>
      <w:r>
        <w:t xml:space="preserve"> </w:t>
      </w:r>
      <w:r>
        <w:t xml:space="preserve">structure produced by the Aim 1 pipeline.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2026-02-03T00:52:48Z</dcterms:created>
  <dcterms:modified xsi:type="dcterms:W3CDTF">2026-02-03T00:52:48Z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