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52BC" w14:textId="7F2DB19D" w:rsidR="0083031B" w:rsidRPr="002E3640" w:rsidRDefault="0083031B" w:rsidP="002E3640">
      <w:pPr>
        <w:spacing w:after="30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Nguyễn Hải </w:t>
      </w:r>
      <w:proofErr w:type="gram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Thiện  -</w:t>
      </w:r>
      <w:proofErr w:type="gram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 23521481 – SS008.O24</w:t>
      </w:r>
    </w:p>
    <w:p w14:paraId="6D58078B" w14:textId="39A2DB29" w:rsidR="00E3516F" w:rsidRPr="002E3640" w:rsidRDefault="00E3516F" w:rsidP="002E3640">
      <w:pPr>
        <w:spacing w:after="30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Phân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biệt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bất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và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khả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biến</w:t>
      </w:r>
      <w:proofErr w:type="spellEnd"/>
      <w:r w:rsidR="00117557" w:rsidRPr="002E3640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51134679" w14:textId="77777777" w:rsidR="00A4596A" w:rsidRPr="002E3640" w:rsidRDefault="00A4596A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r w:rsidRPr="002E3640">
        <w:rPr>
          <w:rFonts w:ascii="Times New Roman" w:hAnsi="Times New Roman" w:cs="Times New Roman"/>
          <w:sz w:val="25"/>
          <w:szCs w:val="25"/>
        </w:rPr>
        <w:t xml:space="preserve">•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(c)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mua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sắm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yếu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tố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vật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xuất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như</w:t>
      </w:r>
      <w:proofErr w:type="spellEnd"/>
    </w:p>
    <w:p w14:paraId="6B83836B" w14:textId="77777777" w:rsidR="00A4596A" w:rsidRPr="002E3640" w:rsidRDefault="00A4596A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máy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móc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thiết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nguyên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vật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liệu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sở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tầng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thay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đổi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</w:p>
    <w:p w14:paraId="2F559C8E" w14:textId="77777777" w:rsidR="00A4596A" w:rsidRPr="002E3640" w:rsidRDefault="00A4596A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xuất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nó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chỉ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mình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phẩm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cuối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cùng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>.</w:t>
      </w:r>
    </w:p>
    <w:p w14:paraId="0263B0A8" w14:textId="77777777" w:rsidR="00A4596A" w:rsidRPr="002E3640" w:rsidRDefault="00A4596A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r w:rsidRPr="002E3640">
        <w:rPr>
          <w:rFonts w:ascii="Times New Roman" w:hAnsi="Times New Roman" w:cs="Times New Roman"/>
          <w:sz w:val="25"/>
          <w:szCs w:val="25"/>
        </w:rPr>
        <w:t xml:space="preserve">•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(v)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mua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sức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công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</w:p>
    <w:p w14:paraId="457CD1EE" w14:textId="77777777" w:rsidR="00A4596A" w:rsidRPr="002E3640" w:rsidRDefault="00A4596A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đổi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lên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xuất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thông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việc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ra</w:t>
      </w:r>
      <w:proofErr w:type="spellEnd"/>
    </w:p>
    <w:p w14:paraId="7F0009E5" w14:textId="608E7A71" w:rsidR="00A4596A" w:rsidRPr="002E3640" w:rsidRDefault="00A4596A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thặng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(m). Do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đó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nguồn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gốc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thặng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>.</w:t>
      </w:r>
    </w:p>
    <w:p w14:paraId="1FD0CC9A" w14:textId="62D8E35B" w:rsidR="00A4596A" w:rsidRPr="00A4596A" w:rsidRDefault="00A4596A" w:rsidP="002E3640">
      <w:pPr>
        <w:spacing w:after="30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Mối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quan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hệ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giữa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tư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bản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bất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biến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và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tư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bản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khả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biến</w:t>
      </w:r>
      <w:proofErr w:type="spellEnd"/>
      <w:r w:rsidR="002E3640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2845FBD9" w14:textId="697F9AD3" w:rsidR="00A4596A" w:rsidRPr="00A4596A" w:rsidRDefault="00A4596A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A4596A">
        <w:rPr>
          <w:rFonts w:ascii="Times New Roman" w:hAnsi="Times New Roman" w:cs="Times New Roman"/>
          <w:sz w:val="25"/>
          <w:szCs w:val="25"/>
        </w:rPr>
        <w:t>Mối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quan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hệ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giữa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hai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loại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này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qua 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tỷ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suất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giá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trị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thặng</w:t>
      </w:r>
      <w:proofErr w:type="spellEnd"/>
      <w:r w:rsidRPr="00A4596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b/>
          <w:bCs/>
          <w:sz w:val="25"/>
          <w:szCs w:val="25"/>
        </w:rPr>
        <w:t>dư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ký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hiệu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 m'.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suất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thặng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dư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bằng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công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thức</w:t>
      </w:r>
      <w:proofErr w:type="spellEnd"/>
      <w:r w:rsidRPr="00A4596A">
        <w:rPr>
          <w:rFonts w:ascii="Times New Roman" w:hAnsi="Times New Roman" w:cs="Times New Roman"/>
          <w:sz w:val="25"/>
          <w:szCs w:val="25"/>
        </w:rPr>
        <w:t>:</w:t>
      </w:r>
    </w:p>
    <w:p w14:paraId="1FDB8DC0" w14:textId="0436A1E8" w:rsidR="00A4596A" w:rsidRPr="00A4596A" w:rsidRDefault="00A4596A" w:rsidP="002E3640">
      <w:pPr>
        <w:spacing w:after="30"/>
        <w:ind w:left="144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2E3640">
        <w:rPr>
          <w:rFonts w:ascii="Times New Roman" w:hAnsi="Times New Roman" w:cs="Times New Roman"/>
          <w:sz w:val="25"/>
          <w:szCs w:val="25"/>
        </w:rPr>
        <w:t xml:space="preserve">m’ = </w:t>
      </w:r>
      <w:r w:rsidR="00072A68" w:rsidRPr="002E3640">
        <w:rPr>
          <w:rFonts w:ascii="Times New Roman" w:eastAsiaTheme="minorEastAsia" w:hAnsi="Times New Roman" w:cs="Times New Roman"/>
          <w:sz w:val="25"/>
          <w:szCs w:val="25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m</m:t>
            </m:r>
          </m:num>
          <m:den>
            <m:r>
              <w:rPr>
                <w:rFonts w:ascii="Cambria Math" w:hAnsi="Cambria Math" w:cs="Times New Roman"/>
                <w:sz w:val="25"/>
                <w:szCs w:val="25"/>
              </w:rPr>
              <m:t>v</m:t>
            </m:r>
          </m:den>
        </m:f>
      </m:oMath>
    </w:p>
    <w:p w14:paraId="5CDF261D" w14:textId="77777777" w:rsidR="00072A68" w:rsidRPr="002E3640" w:rsidRDefault="00A4596A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r w:rsidRPr="00A4596A">
        <w:rPr>
          <w:rFonts w:ascii="Times New Roman" w:hAnsi="Times New Roman" w:cs="Times New Roman"/>
          <w:sz w:val="25"/>
          <w:szCs w:val="25"/>
        </w:rPr>
        <w:t xml:space="preserve">Trong </w:t>
      </w:r>
      <w:proofErr w:type="spellStart"/>
      <w:r w:rsidRPr="00A4596A">
        <w:rPr>
          <w:rFonts w:ascii="Times New Roman" w:hAnsi="Times New Roman" w:cs="Times New Roman"/>
          <w:sz w:val="25"/>
          <w:szCs w:val="25"/>
        </w:rPr>
        <w:t>đó</w:t>
      </w:r>
      <w:proofErr w:type="spellEnd"/>
      <w:r w:rsidR="00072A68" w:rsidRPr="002E3640">
        <w:rPr>
          <w:rFonts w:ascii="Times New Roman" w:hAnsi="Times New Roman" w:cs="Times New Roman"/>
          <w:sz w:val="25"/>
          <w:szCs w:val="25"/>
        </w:rPr>
        <w:t>:</w:t>
      </w:r>
    </w:p>
    <w:p w14:paraId="29413B9A" w14:textId="77777777" w:rsidR="00072A68" w:rsidRPr="002E3640" w:rsidRDefault="00A4596A" w:rsidP="002E3640">
      <w:pPr>
        <w:pStyle w:val="ListParagraph"/>
        <w:numPr>
          <w:ilvl w:val="0"/>
          <w:numId w:val="1"/>
        </w:numPr>
        <w:spacing w:after="30"/>
        <w:ind w:left="2160"/>
        <w:jc w:val="both"/>
        <w:rPr>
          <w:rFonts w:ascii="Times New Roman" w:hAnsi="Times New Roman" w:cs="Times New Roman"/>
          <w:sz w:val="25"/>
          <w:szCs w:val="25"/>
        </w:rPr>
      </w:pPr>
      <w:r w:rsidRPr="002E3640">
        <w:rPr>
          <w:rFonts w:ascii="Times New Roman" w:hAnsi="Times New Roman" w:cs="Times New Roman"/>
          <w:sz w:val="25"/>
          <w:szCs w:val="25"/>
        </w:rPr>
        <w:t>m 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thặng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599859C0" w14:textId="77777777" w:rsidR="00072A68" w:rsidRPr="002E3640" w:rsidRDefault="00A4596A" w:rsidP="002E3640">
      <w:pPr>
        <w:pStyle w:val="ListParagraph"/>
        <w:numPr>
          <w:ilvl w:val="0"/>
          <w:numId w:val="1"/>
        </w:numPr>
        <w:spacing w:after="30"/>
        <w:ind w:left="2160"/>
        <w:jc w:val="both"/>
        <w:rPr>
          <w:rFonts w:ascii="Times New Roman" w:hAnsi="Times New Roman" w:cs="Times New Roman"/>
          <w:sz w:val="25"/>
          <w:szCs w:val="25"/>
        </w:rPr>
      </w:pPr>
      <w:r w:rsidRPr="002E3640">
        <w:rPr>
          <w:rFonts w:ascii="Times New Roman" w:hAnsi="Times New Roman" w:cs="Times New Roman"/>
          <w:sz w:val="25"/>
          <w:szCs w:val="25"/>
        </w:rPr>
        <w:t>v 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</w:p>
    <w:p w14:paraId="5CE7AF52" w14:textId="295D46C6" w:rsidR="00072A68" w:rsidRPr="002E3640" w:rsidRDefault="00A4596A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suất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thặng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phản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ánh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mức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bóc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lột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đối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công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>.</w:t>
      </w:r>
    </w:p>
    <w:p w14:paraId="04EA2C4B" w14:textId="37BE892A" w:rsidR="00072A68" w:rsidRPr="002E3640" w:rsidRDefault="00072A68" w:rsidP="002E3640">
      <w:pPr>
        <w:spacing w:after="30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Khi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tỷ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suất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thặng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dư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tăng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lên</w:t>
      </w:r>
      <w:proofErr w:type="spellEnd"/>
      <w:r w:rsidR="00117557" w:rsidRPr="002E3640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144EB5D0" w14:textId="4ED80F3D" w:rsidR="00072A68" w:rsidRPr="002E3640" w:rsidRDefault="00072A68" w:rsidP="002E3640">
      <w:pPr>
        <w:spacing w:after="30"/>
        <w:ind w:left="720"/>
        <w:jc w:val="both"/>
        <w:rPr>
          <w:rFonts w:ascii="Times New Roman" w:hAnsi="Times New Roman" w:cs="Times New Roman"/>
          <w:sz w:val="25"/>
          <w:szCs w:val="25"/>
        </w:rPr>
      </w:pPr>
      <w:r w:rsidRPr="002E3640">
        <w:rPr>
          <w:rFonts w:ascii="Times New Roman" w:hAnsi="Times New Roman" w:cs="Times New Roman"/>
          <w:sz w:val="25"/>
          <w:szCs w:val="25"/>
        </w:rPr>
        <w:t xml:space="preserve">Khi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suất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thặng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lên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nghĩa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thặng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thu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mỗi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đơn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lên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Điều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này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dẫn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tượng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>:</w:t>
      </w:r>
    </w:p>
    <w:p w14:paraId="1B57BFC8" w14:textId="12DCF849" w:rsidR="00072A68" w:rsidRPr="002E3640" w:rsidRDefault="00072A68" w:rsidP="002E3640">
      <w:pPr>
        <w:pStyle w:val="ListParagraph"/>
        <w:numPr>
          <w:ilvl w:val="0"/>
          <w:numId w:val="3"/>
        </w:numPr>
        <w:spacing w:after="3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suất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Người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phải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việc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hơn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hiệu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quả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hơn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lương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ứng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>.</w:t>
      </w:r>
    </w:p>
    <w:p w14:paraId="10650B9D" w14:textId="77777777" w:rsidR="00072A68" w:rsidRPr="002E3640" w:rsidRDefault="00072A68" w:rsidP="002E3640">
      <w:pPr>
        <w:pStyle w:val="ListParagraph"/>
        <w:numPr>
          <w:ilvl w:val="0"/>
          <w:numId w:val="3"/>
        </w:numPr>
        <w:spacing w:after="3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Giảm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sức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thấp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nghĩa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người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nhận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ít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hơn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so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họ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ra.</w:t>
      </w:r>
      <w:proofErr w:type="spellEnd"/>
    </w:p>
    <w:p w14:paraId="0F7B431B" w14:textId="77777777" w:rsidR="00072A68" w:rsidRPr="002E3640" w:rsidRDefault="00072A68" w:rsidP="002E3640">
      <w:pPr>
        <w:pStyle w:val="ListParagraph"/>
        <w:numPr>
          <w:ilvl w:val="0"/>
          <w:numId w:val="3"/>
        </w:numPr>
        <w:spacing w:after="30"/>
        <w:jc w:val="both"/>
        <w:rPr>
          <w:rFonts w:ascii="Times New Roman" w:hAnsi="Times New Roman" w:cs="Times New Roman"/>
          <w:sz w:val="25"/>
          <w:szCs w:val="25"/>
        </w:rPr>
      </w:pPr>
      <w:r w:rsidRPr="002E3640">
        <w:rPr>
          <w:rFonts w:ascii="Times New Roman" w:hAnsi="Times New Roman" w:cs="Times New Roman"/>
          <w:sz w:val="25"/>
          <w:szCs w:val="25"/>
        </w:rPr>
        <w:t xml:space="preserve">Gia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đẳng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Chênh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lệch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thu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nhập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giữa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người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ngày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càng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lớn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>.</w:t>
      </w:r>
    </w:p>
    <w:p w14:paraId="72E613F7" w14:textId="77777777" w:rsidR="0083031B" w:rsidRPr="0083031B" w:rsidRDefault="0083031B" w:rsidP="002E3640">
      <w:pPr>
        <w:spacing w:after="30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Ví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dụ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thực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tiễn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từ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Vinamilk</w:t>
      </w:r>
      <w:proofErr w:type="spellEnd"/>
    </w:p>
    <w:p w14:paraId="7F98DB7E" w14:textId="77777777" w:rsidR="0083031B" w:rsidRPr="0083031B" w:rsidRDefault="0083031B" w:rsidP="002E3640">
      <w:pPr>
        <w:spacing w:after="30"/>
        <w:ind w:left="36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Số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liệu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năm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2022</w:t>
      </w:r>
      <w:r w:rsidRPr="0083031B">
        <w:rPr>
          <w:rFonts w:ascii="Times New Roman" w:hAnsi="Times New Roman" w:cs="Times New Roman"/>
          <w:sz w:val="25"/>
          <w:szCs w:val="25"/>
        </w:rPr>
        <w:t>:</w:t>
      </w:r>
    </w:p>
    <w:p w14:paraId="26297F37" w14:textId="77777777" w:rsidR="0083031B" w:rsidRPr="0083031B" w:rsidRDefault="0083031B" w:rsidP="002E3640">
      <w:pPr>
        <w:numPr>
          <w:ilvl w:val="0"/>
          <w:numId w:val="9"/>
        </w:numPr>
        <w:tabs>
          <w:tab w:val="clear" w:pos="720"/>
          <w:tab w:val="num" w:pos="1080"/>
        </w:tabs>
        <w:spacing w:after="30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bất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(C): 8,000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VNĐ</w:t>
      </w:r>
    </w:p>
    <w:p w14:paraId="21021FFF" w14:textId="77777777" w:rsidR="0083031B" w:rsidRPr="0083031B" w:rsidRDefault="0083031B" w:rsidP="002E3640">
      <w:pPr>
        <w:numPr>
          <w:ilvl w:val="0"/>
          <w:numId w:val="9"/>
        </w:numPr>
        <w:tabs>
          <w:tab w:val="clear" w:pos="720"/>
          <w:tab w:val="num" w:pos="1080"/>
        </w:tabs>
        <w:spacing w:after="30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(V): 2,500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VNĐ</w:t>
      </w:r>
    </w:p>
    <w:p w14:paraId="69924A42" w14:textId="75D1E337" w:rsidR="0083031B" w:rsidRPr="0083031B" w:rsidRDefault="0083031B" w:rsidP="002E3640">
      <w:pPr>
        <w:numPr>
          <w:ilvl w:val="0"/>
          <w:numId w:val="9"/>
        </w:numPr>
        <w:tabs>
          <w:tab w:val="clear" w:pos="720"/>
          <w:tab w:val="num" w:pos="1080"/>
        </w:tabs>
        <w:spacing w:after="30"/>
        <w:ind w:left="1080"/>
        <w:jc w:val="both"/>
        <w:rPr>
          <w:rFonts w:ascii="Times New Roman" w:hAnsi="Times New Roman" w:cs="Times New Roman"/>
          <w:sz w:val="25"/>
          <w:szCs w:val="25"/>
        </w:rPr>
      </w:pPr>
      <w:r w:rsidRPr="0083031B">
        <w:rPr>
          <w:rFonts w:ascii="Times New Roman" w:hAnsi="Times New Roman" w:cs="Times New Roman"/>
          <w:sz w:val="25"/>
          <w:szCs w:val="25"/>
        </w:rPr>
        <w:t xml:space="preserve">Lợi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nhuận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thuế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(M): 10,633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VNĐ</w:t>
      </w:r>
    </w:p>
    <w:p w14:paraId="2C37B0E7" w14:textId="77777777" w:rsidR="0083031B" w:rsidRPr="0083031B" w:rsidRDefault="0083031B" w:rsidP="002E3640">
      <w:pPr>
        <w:spacing w:after="30"/>
        <w:ind w:left="360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Tính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toán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tỷ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suất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giá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trị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thặng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dư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6F8A491C" w14:textId="4E431FD0" w:rsidR="0083031B" w:rsidRPr="0083031B" w:rsidRDefault="0083031B" w:rsidP="002E3640">
      <w:pPr>
        <w:spacing w:after="30"/>
        <w:ind w:left="36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83031B">
        <w:rPr>
          <w:rFonts w:ascii="Cambria Math" w:hAnsi="Cambria Math" w:cs="Cambria Math"/>
          <w:sz w:val="25"/>
          <w:szCs w:val="25"/>
        </w:rPr>
        <w:t>𝑚</w:t>
      </w:r>
      <w:r w:rsidRPr="0083031B">
        <w:rPr>
          <w:rFonts w:ascii="Times New Roman" w:hAnsi="Times New Roman" w:cs="Times New Roman"/>
          <w:sz w:val="25"/>
          <w:szCs w:val="25"/>
        </w:rPr>
        <w:t>′=10,633</w:t>
      </w:r>
      <w:r w:rsidRPr="002E3640">
        <w:rPr>
          <w:rFonts w:ascii="Times New Roman" w:hAnsi="Times New Roman" w:cs="Times New Roman"/>
          <w:sz w:val="25"/>
          <w:szCs w:val="25"/>
        </w:rPr>
        <w:t>/</w:t>
      </w:r>
      <w:r w:rsidRPr="0083031B">
        <w:rPr>
          <w:rFonts w:ascii="Times New Roman" w:hAnsi="Times New Roman" w:cs="Times New Roman"/>
          <w:sz w:val="25"/>
          <w:szCs w:val="25"/>
        </w:rPr>
        <w:t>2,500​=4.25</w:t>
      </w:r>
    </w:p>
    <w:p w14:paraId="2723A40B" w14:textId="77777777" w:rsidR="0083031B" w:rsidRPr="0083031B" w:rsidRDefault="0083031B" w:rsidP="002E3640">
      <w:pPr>
        <w:spacing w:after="30"/>
        <w:ind w:left="36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sz w:val="25"/>
          <w:szCs w:val="25"/>
        </w:rPr>
        <w:t>Điều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này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thấy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mỗi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đồng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đầu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ra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4.25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đồng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thặng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dư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Vinamilk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>.</w:t>
      </w:r>
    </w:p>
    <w:p w14:paraId="1D5910FE" w14:textId="77777777" w:rsidR="0083031B" w:rsidRPr="0083031B" w:rsidRDefault="0083031B" w:rsidP="002E3640">
      <w:pPr>
        <w:spacing w:after="30"/>
        <w:ind w:left="360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Hiện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tượng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khi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tỷ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suất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này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tăng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7CED8F53" w14:textId="77777777" w:rsidR="0083031B" w:rsidRPr="0083031B" w:rsidRDefault="0083031B" w:rsidP="002E3640">
      <w:pPr>
        <w:numPr>
          <w:ilvl w:val="0"/>
          <w:numId w:val="10"/>
        </w:numPr>
        <w:tabs>
          <w:tab w:val="clear" w:pos="720"/>
          <w:tab w:val="num" w:pos="1080"/>
        </w:tabs>
        <w:spacing w:after="30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Tăng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lợi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nhuận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: Công ty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lợi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nhuận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cao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hơn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>.</w:t>
      </w:r>
    </w:p>
    <w:p w14:paraId="40A0660D" w14:textId="77777777" w:rsidR="0083031B" w:rsidRPr="0083031B" w:rsidRDefault="0083031B" w:rsidP="002E3640">
      <w:pPr>
        <w:numPr>
          <w:ilvl w:val="0"/>
          <w:numId w:val="10"/>
        </w:numPr>
        <w:tabs>
          <w:tab w:val="clear" w:pos="720"/>
          <w:tab w:val="num" w:pos="1080"/>
        </w:tabs>
        <w:spacing w:after="30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Tăng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cường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độ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lao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động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: Công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việc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cật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lực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hơn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>.</w:t>
      </w:r>
    </w:p>
    <w:p w14:paraId="6477E726" w14:textId="77777777" w:rsidR="0083031B" w:rsidRPr="0083031B" w:rsidRDefault="0083031B" w:rsidP="002E3640">
      <w:pPr>
        <w:numPr>
          <w:ilvl w:val="0"/>
          <w:numId w:val="10"/>
        </w:numPr>
        <w:tabs>
          <w:tab w:val="clear" w:pos="720"/>
          <w:tab w:val="num" w:pos="1080"/>
        </w:tabs>
        <w:spacing w:after="30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Cải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tiến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công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nghệ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Nâng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cao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suất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83031B">
        <w:rPr>
          <w:rFonts w:ascii="Times New Roman" w:hAnsi="Times New Roman" w:cs="Times New Roman"/>
          <w:sz w:val="25"/>
          <w:szCs w:val="25"/>
        </w:rPr>
        <w:t>.</w:t>
      </w:r>
    </w:p>
    <w:p w14:paraId="66EB8241" w14:textId="77777777" w:rsidR="0083031B" w:rsidRPr="0083031B" w:rsidRDefault="0083031B" w:rsidP="002E3640">
      <w:pPr>
        <w:spacing w:after="30"/>
        <w:ind w:left="360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Dẫn</w:t>
      </w:r>
      <w:proofErr w:type="spellEnd"/>
      <w:r w:rsidRPr="0083031B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3031B">
        <w:rPr>
          <w:rFonts w:ascii="Times New Roman" w:hAnsi="Times New Roman" w:cs="Times New Roman"/>
          <w:b/>
          <w:bCs/>
          <w:sz w:val="25"/>
          <w:szCs w:val="25"/>
        </w:rPr>
        <w:t>nguồn</w:t>
      </w:r>
      <w:proofErr w:type="spellEnd"/>
    </w:p>
    <w:p w14:paraId="73F0F591" w14:textId="65AB6BF0" w:rsidR="0083031B" w:rsidRPr="0083031B" w:rsidRDefault="001459E2" w:rsidP="002E3640">
      <w:pPr>
        <w:numPr>
          <w:ilvl w:val="0"/>
          <w:numId w:val="11"/>
        </w:numPr>
        <w:tabs>
          <w:tab w:val="clear" w:pos="720"/>
          <w:tab w:val="num" w:pos="1080"/>
        </w:tabs>
        <w:spacing w:after="30"/>
        <w:ind w:left="1080"/>
        <w:jc w:val="both"/>
        <w:rPr>
          <w:rStyle w:val="Hyperlink"/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fldChar w:fldCharType="begin"/>
      </w:r>
      <w:r>
        <w:rPr>
          <w:rFonts w:ascii="Times New Roman" w:hAnsi="Times New Roman" w:cs="Times New Roman"/>
          <w:sz w:val="25"/>
          <w:szCs w:val="25"/>
        </w:rPr>
        <w:instrText>HYPERLINK "https://www.vinamilk.com.vn/vi/bao-cao-tai-chinh" \t "_blank"</w:instrText>
      </w:r>
      <w:r>
        <w:rPr>
          <w:rFonts w:ascii="Times New Roman" w:hAnsi="Times New Roman" w:cs="Times New Roman"/>
          <w:sz w:val="25"/>
          <w:szCs w:val="25"/>
        </w:rPr>
      </w:r>
      <w:r>
        <w:rPr>
          <w:rFonts w:ascii="Times New Roman" w:hAnsi="Times New Roman" w:cs="Times New Roman"/>
          <w:sz w:val="25"/>
          <w:szCs w:val="25"/>
        </w:rPr>
        <w:fldChar w:fldCharType="separate"/>
      </w:r>
      <w:r w:rsidR="0083031B" w:rsidRPr="0083031B">
        <w:rPr>
          <w:rStyle w:val="Hyperlink"/>
          <w:rFonts w:ascii="Times New Roman" w:hAnsi="Times New Roman" w:cs="Times New Roman"/>
          <w:sz w:val="25"/>
          <w:szCs w:val="25"/>
        </w:rPr>
        <w:t xml:space="preserve">Báo </w:t>
      </w:r>
      <w:proofErr w:type="spellStart"/>
      <w:r w:rsidR="0083031B" w:rsidRPr="0083031B">
        <w:rPr>
          <w:rStyle w:val="Hyperlink"/>
          <w:rFonts w:ascii="Times New Roman" w:hAnsi="Times New Roman" w:cs="Times New Roman"/>
          <w:sz w:val="25"/>
          <w:szCs w:val="25"/>
        </w:rPr>
        <w:t>cáo</w:t>
      </w:r>
      <w:proofErr w:type="spellEnd"/>
      <w:r w:rsidR="0083031B" w:rsidRPr="0083031B">
        <w:rPr>
          <w:rStyle w:val="Hyperlink"/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83031B" w:rsidRPr="0083031B">
        <w:rPr>
          <w:rStyle w:val="Hyperlink"/>
          <w:rFonts w:ascii="Times New Roman" w:hAnsi="Times New Roman" w:cs="Times New Roman"/>
          <w:sz w:val="25"/>
          <w:szCs w:val="25"/>
        </w:rPr>
        <w:t>tài</w:t>
      </w:r>
      <w:proofErr w:type="spellEnd"/>
      <w:r w:rsidR="0083031B" w:rsidRPr="0083031B">
        <w:rPr>
          <w:rStyle w:val="Hyperlink"/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83031B" w:rsidRPr="0083031B">
        <w:rPr>
          <w:rStyle w:val="Hyperlink"/>
          <w:rFonts w:ascii="Times New Roman" w:hAnsi="Times New Roman" w:cs="Times New Roman"/>
          <w:sz w:val="25"/>
          <w:szCs w:val="25"/>
        </w:rPr>
        <w:t>chính</w:t>
      </w:r>
      <w:proofErr w:type="spellEnd"/>
      <w:r w:rsidR="0083031B" w:rsidRPr="0083031B">
        <w:rPr>
          <w:rStyle w:val="Hyperlink"/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83031B" w:rsidRPr="0083031B">
        <w:rPr>
          <w:rStyle w:val="Hyperlink"/>
          <w:rFonts w:ascii="Times New Roman" w:hAnsi="Times New Roman" w:cs="Times New Roman"/>
          <w:sz w:val="25"/>
          <w:szCs w:val="25"/>
        </w:rPr>
        <w:t>Vinamilk</w:t>
      </w:r>
      <w:proofErr w:type="spellEnd"/>
      <w:r w:rsidR="0083031B" w:rsidRPr="0083031B">
        <w:rPr>
          <w:rStyle w:val="Hyperlink"/>
          <w:rFonts w:ascii="Times New Roman" w:hAnsi="Times New Roman" w:cs="Times New Roman"/>
          <w:sz w:val="25"/>
          <w:szCs w:val="25"/>
        </w:rPr>
        <w:t xml:space="preserve"> 2022</w:t>
      </w:r>
    </w:p>
    <w:p w14:paraId="7E09A279" w14:textId="52CC0225" w:rsidR="0083031B" w:rsidRPr="0083031B" w:rsidRDefault="001459E2" w:rsidP="002E3640">
      <w:pPr>
        <w:numPr>
          <w:ilvl w:val="0"/>
          <w:numId w:val="11"/>
        </w:numPr>
        <w:tabs>
          <w:tab w:val="clear" w:pos="720"/>
          <w:tab w:val="num" w:pos="1080"/>
        </w:tabs>
        <w:spacing w:after="30"/>
        <w:ind w:left="108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fldChar w:fldCharType="end"/>
      </w:r>
      <w:hyperlink r:id="rId5" w:tgtFrame="_blank" w:history="1">
        <w:proofErr w:type="spellStart"/>
        <w:r w:rsidR="0083031B" w:rsidRPr="0083031B">
          <w:rPr>
            <w:rStyle w:val="Hyperlink"/>
            <w:rFonts w:ascii="Times New Roman" w:hAnsi="Times New Roman" w:cs="Times New Roman"/>
            <w:sz w:val="25"/>
            <w:szCs w:val="25"/>
          </w:rPr>
          <w:t>Tổng</w:t>
        </w:r>
        <w:proofErr w:type="spellEnd"/>
        <w:r w:rsidR="0083031B" w:rsidRPr="0083031B">
          <w:rPr>
            <w:rStyle w:val="Hyperlink"/>
            <w:rFonts w:ascii="Times New Roman" w:hAnsi="Times New Roman" w:cs="Times New Roman"/>
            <w:sz w:val="25"/>
            <w:szCs w:val="25"/>
          </w:rPr>
          <w:t xml:space="preserve"> </w:t>
        </w:r>
        <w:proofErr w:type="spellStart"/>
        <w:r w:rsidR="0083031B" w:rsidRPr="0083031B">
          <w:rPr>
            <w:rStyle w:val="Hyperlink"/>
            <w:rFonts w:ascii="Times New Roman" w:hAnsi="Times New Roman" w:cs="Times New Roman"/>
            <w:sz w:val="25"/>
            <w:szCs w:val="25"/>
          </w:rPr>
          <w:t>cục</w:t>
        </w:r>
        <w:proofErr w:type="spellEnd"/>
        <w:r w:rsidR="0083031B" w:rsidRPr="0083031B">
          <w:rPr>
            <w:rStyle w:val="Hyperlink"/>
            <w:rFonts w:ascii="Times New Roman" w:hAnsi="Times New Roman" w:cs="Times New Roman"/>
            <w:sz w:val="25"/>
            <w:szCs w:val="25"/>
          </w:rPr>
          <w:t xml:space="preserve"> </w:t>
        </w:r>
        <w:proofErr w:type="spellStart"/>
        <w:r w:rsidR="0083031B" w:rsidRPr="0083031B">
          <w:rPr>
            <w:rStyle w:val="Hyperlink"/>
            <w:rFonts w:ascii="Times New Roman" w:hAnsi="Times New Roman" w:cs="Times New Roman"/>
            <w:sz w:val="25"/>
            <w:szCs w:val="25"/>
          </w:rPr>
          <w:t>Thống</w:t>
        </w:r>
        <w:proofErr w:type="spellEnd"/>
        <w:r w:rsidR="0083031B" w:rsidRPr="0083031B">
          <w:rPr>
            <w:rStyle w:val="Hyperlink"/>
            <w:rFonts w:ascii="Times New Roman" w:hAnsi="Times New Roman" w:cs="Times New Roman"/>
            <w:sz w:val="25"/>
            <w:szCs w:val="25"/>
          </w:rPr>
          <w:t xml:space="preserve"> </w:t>
        </w:r>
        <w:proofErr w:type="spellStart"/>
        <w:r w:rsidR="0083031B" w:rsidRPr="0083031B">
          <w:rPr>
            <w:rStyle w:val="Hyperlink"/>
            <w:rFonts w:ascii="Times New Roman" w:hAnsi="Times New Roman" w:cs="Times New Roman"/>
            <w:sz w:val="25"/>
            <w:szCs w:val="25"/>
          </w:rPr>
          <w:t>kê</w:t>
        </w:r>
        <w:proofErr w:type="spellEnd"/>
        <w:r w:rsidR="0083031B" w:rsidRPr="0083031B">
          <w:rPr>
            <w:rStyle w:val="Hyperlink"/>
            <w:rFonts w:ascii="Times New Roman" w:hAnsi="Times New Roman" w:cs="Times New Roman"/>
            <w:sz w:val="25"/>
            <w:szCs w:val="25"/>
          </w:rPr>
          <w:t xml:space="preserve"> Việt Nam</w:t>
        </w:r>
      </w:hyperlink>
    </w:p>
    <w:p w14:paraId="5DC8A840" w14:textId="5D2B4A3F" w:rsidR="008A5E7E" w:rsidRPr="002E3640" w:rsidRDefault="00117557" w:rsidP="002E3640">
      <w:pPr>
        <w:spacing w:after="3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Kết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b/>
          <w:bCs/>
          <w:sz w:val="25"/>
          <w:szCs w:val="25"/>
        </w:rPr>
        <w:t>luận</w:t>
      </w:r>
      <w:proofErr w:type="spellEnd"/>
      <w:r w:rsidRPr="002E3640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biến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hai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quan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trọng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tổng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nối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suất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thặng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. Khi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suất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này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lợi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nhuận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mức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bóc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lastRenderedPageBreak/>
        <w:t>lột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công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đều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Cân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bằng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lợi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ích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giữa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hai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loại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bản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này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chìa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khóa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đạt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phát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triển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bền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vững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thịnh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vượng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cả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doanh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nghiệp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người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lao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E3640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2E3640">
        <w:rPr>
          <w:rFonts w:ascii="Times New Roman" w:hAnsi="Times New Roman" w:cs="Times New Roman"/>
          <w:sz w:val="25"/>
          <w:szCs w:val="25"/>
        </w:rPr>
        <w:t>.</w:t>
      </w:r>
      <w:r w:rsidR="00072A68" w:rsidRPr="00072A68">
        <w:rPr>
          <w:rFonts w:ascii="Times New Roman" w:hAnsi="Times New Roman" w:cs="Times New Roman"/>
          <w:sz w:val="25"/>
          <w:szCs w:val="25"/>
        </w:rPr>
        <w:t xml:space="preserve"> </w:t>
      </w:r>
    </w:p>
    <w:sectPr w:rsidR="008A5E7E" w:rsidRPr="002E3640" w:rsidSect="002E3640">
      <w:pgSz w:w="11907" w:h="16840" w:code="9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A0E"/>
    <w:multiLevelType w:val="multilevel"/>
    <w:tmpl w:val="DD7E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C0ED4"/>
    <w:multiLevelType w:val="multilevel"/>
    <w:tmpl w:val="FBD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B1938"/>
    <w:multiLevelType w:val="multilevel"/>
    <w:tmpl w:val="781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46A20"/>
    <w:multiLevelType w:val="hybridMultilevel"/>
    <w:tmpl w:val="5A1C3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A0B34"/>
    <w:multiLevelType w:val="hybridMultilevel"/>
    <w:tmpl w:val="15CA5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A4CD4"/>
    <w:multiLevelType w:val="multilevel"/>
    <w:tmpl w:val="5BFC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45FB1"/>
    <w:multiLevelType w:val="multilevel"/>
    <w:tmpl w:val="8EA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BE1B5D"/>
    <w:multiLevelType w:val="multilevel"/>
    <w:tmpl w:val="102E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7B4A7B"/>
    <w:multiLevelType w:val="multilevel"/>
    <w:tmpl w:val="14F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9949A4"/>
    <w:multiLevelType w:val="multilevel"/>
    <w:tmpl w:val="AF4A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E83CEA"/>
    <w:multiLevelType w:val="hybridMultilevel"/>
    <w:tmpl w:val="2FF6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61894">
    <w:abstractNumId w:val="4"/>
  </w:num>
  <w:num w:numId="2" w16cid:durableId="1650212311">
    <w:abstractNumId w:val="3"/>
  </w:num>
  <w:num w:numId="3" w16cid:durableId="1146777480">
    <w:abstractNumId w:val="10"/>
  </w:num>
  <w:num w:numId="4" w16cid:durableId="1422992002">
    <w:abstractNumId w:val="9"/>
  </w:num>
  <w:num w:numId="5" w16cid:durableId="315259986">
    <w:abstractNumId w:val="0"/>
  </w:num>
  <w:num w:numId="6" w16cid:durableId="1624262003">
    <w:abstractNumId w:val="5"/>
  </w:num>
  <w:num w:numId="7" w16cid:durableId="1902717066">
    <w:abstractNumId w:val="1"/>
  </w:num>
  <w:num w:numId="8" w16cid:durableId="1986087873">
    <w:abstractNumId w:val="7"/>
  </w:num>
  <w:num w:numId="9" w16cid:durableId="901449074">
    <w:abstractNumId w:val="6"/>
  </w:num>
  <w:num w:numId="10" w16cid:durableId="824778112">
    <w:abstractNumId w:val="2"/>
  </w:num>
  <w:num w:numId="11" w16cid:durableId="2146922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6CA"/>
    <w:rsid w:val="0000316D"/>
    <w:rsid w:val="00072A68"/>
    <w:rsid w:val="000A38EB"/>
    <w:rsid w:val="000C528F"/>
    <w:rsid w:val="00117557"/>
    <w:rsid w:val="001459E2"/>
    <w:rsid w:val="002E3640"/>
    <w:rsid w:val="003C56CA"/>
    <w:rsid w:val="0083031B"/>
    <w:rsid w:val="008A5E7E"/>
    <w:rsid w:val="009E4500"/>
    <w:rsid w:val="00A4596A"/>
    <w:rsid w:val="00CD0202"/>
    <w:rsid w:val="00E3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0BDD"/>
  <w15:docId w15:val="{4ED56759-E9B6-4CBF-BECC-F6BF4E8C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6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6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6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6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6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6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6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6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6C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so.gov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1</cp:revision>
  <dcterms:created xsi:type="dcterms:W3CDTF">2024-06-07T08:29:00Z</dcterms:created>
  <dcterms:modified xsi:type="dcterms:W3CDTF">2024-06-08T12:12:00Z</dcterms:modified>
</cp:coreProperties>
</file>