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 — Model Specification</w:t>
      </w:r>
    </w:p>
    <w:p>
      <w:pPr>
        <w:spacing w:after="160"/>
      </w:pPr>
      <w:r>
        <w:rPr>
          <w:i/>
          <w:iCs/>
          <w:color w:val="595959"/>
        </w:rPr>
        <w:t xml:space="preserve">FIN 321 · International Business Finance · Summer 2026 (Sec. 701)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4.2 / 20</w:t>
            </w:r>
            <w:r>
              <w:t xml:space="preserve">  (21% of the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Due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Friday, July 31, 2026 · 11:59 PM HST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rhlrypftbw_8jyz1c1r2">
              <w:r>
                <w:rPr>
                  <w:rStyle w:val="Hyperlink"/>
                  <w:color w:val="0563C1"/>
                  <w:u w:val="single"/>
                </w:rPr>
                <w:t xml:space="preserve">https://adamwstauffer.github.io/ai-lms/fx-hedging-stage2.html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24731"/>
              </w:rPr>
              <w:t xml:space="preserve">Submit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 &amp; push the spec + prompt log; submit the file link via Lamaku</w:t>
            </w:r>
          </w:p>
        </w:tc>
      </w:tr>
    </w:tbl>
    <w:p/>
    <w:p>
      <w:pPr>
        <w:pStyle w:val="Heading2"/>
      </w:pPr>
      <w:r>
        <w:t xml:space="preserve">Goal</w:t>
      </w:r>
    </w:p>
    <w:p>
      <w:r>
        <w:t xml:space="preserve">Using the spec template, write a 2–3 page technical specification for your FX hedging workbook — before any Excel exists. It must be precise enough that an AI (or a colleague who never saw your memo) could build the complete workbook from this document alone. In Phase 3, that is literally what happens: the spec is the prompt. Use your assigned scenario’s parameters as placeholder inputs, clearly flagged as “indicative — replaced with live market data at Phase 4.”</w:t>
      </w:r>
    </w:p>
    <w:p>
      <w:pPr>
        <w:pStyle w:val="Heading2"/>
      </w:pPr>
      <w:r>
        <w:t xml:space="preserve">What to include</w:t>
      </w:r>
    </w:p>
    <w:p>
      <w:pPr>
        <w:pStyle w:val="ListParagraph"/>
        <w:numPr>
          <w:ilvl w:val="0"/>
          <w:numId w:val="2"/>
        </w:numPr>
      </w:pPr>
      <w:r>
        <w:t xml:space="preserve">Problem statement — exposure, timing, risk, business consequence (currency, amount, date).</w:t>
      </w:r>
    </w:p>
    <w:p>
      <w:pPr>
        <w:pStyle w:val="ListParagraph"/>
        <w:numPr>
          <w:ilvl w:val="0"/>
          <w:numId w:val="2"/>
        </w:numPr>
      </w:pPr>
      <w:r>
        <w:t xml:space="preserve">Inputs (named-range contract) — every input with name, placeholder value, unit, and Phase-4 data source. Use the standard names exactly: FC_AMT, S0_in, F0_in, R_USD, R_FC, K_PUT, K_CALL, PREM_PUT, PREM_CALL, T_DAYS.</w:t>
      </w:r>
    </w:p>
    <w:p>
      <w:pPr>
        <w:pStyle w:val="ListParagraph"/>
        <w:numPr>
          <w:ilvl w:val="0"/>
          <w:numId w:val="2"/>
        </w:numPr>
      </w:pPr>
      <w:r>
        <w:t xml:space="preserve">Tab architecture — name every tab and its purpose (Cover, Legend/Key, Inputs, one area per hedge, Sensitivity, Notes &amp; Assumptions).</w:t>
      </w:r>
    </w:p>
    <w:p>
      <w:pPr>
        <w:pStyle w:val="ListParagraph"/>
        <w:numPr>
          <w:ilvl w:val="0"/>
          <w:numId w:val="2"/>
        </w:numPr>
      </w:pPr>
      <w:r>
        <w:t xml:space="preserve">Assumptions &amp; constraints — rate basis (e.g., ACT/360), transaction costs, parity expectation, premium treatment.</w:t>
      </w:r>
    </w:p>
    <w:p>
      <w:pPr>
        <w:pStyle w:val="ListParagraph"/>
        <w:numPr>
          <w:ilvl w:val="0"/>
          <w:numId w:val="2"/>
        </w:numPr>
      </w:pPr>
      <w:r>
        <w:t xml:space="preserve">Calculation flow — logic in named-range notation (never cell addresses) for forward, money-market (3 steps + parity check), and options (premium + payoff vs. ending spot S_T).</w:t>
      </w:r>
    </w:p>
    <w:p>
      <w:pPr>
        <w:pStyle w:val="ListParagraph"/>
        <w:numPr>
          <w:ilvl w:val="0"/>
          <w:numId w:val="2"/>
        </w:numPr>
      </w:pPr>
      <w:r>
        <w:t xml:space="preserve">Sensitivity plan — S_T from 0.95×S0_in to 1.05×S0_in in 1% steps; one comparison chart.</w:t>
      </w:r>
    </w:p>
    <w:p>
      <w:pPr>
        <w:pStyle w:val="ListParagraph"/>
        <w:numPr>
          <w:ilvl w:val="0"/>
          <w:numId w:val="2"/>
        </w:numPr>
      </w:pPr>
      <w:r>
        <w:t xml:space="preserve">Validation rules (check figures) — forward ≈ MM parity, continuous option proceeds, no error cells, every output a formula. These become your Phase 3 audit checklist.</w:t>
      </w:r>
    </w:p>
    <w:p>
      <w:pPr>
        <w:pStyle w:val="ListParagraph"/>
        <w:numPr>
          <w:ilvl w:val="0"/>
          <w:numId w:val="2"/>
        </w:numPr>
      </w:pPr>
      <w:r>
        <w:t xml:space="preserve">Outputs — name each summary result and table exactly.</w:t>
      </w:r>
    </w:p>
    <w:p>
      <w:r>
        <w:rPr>
          <w:b/>
          <w:bCs/>
        </w:rPr>
        <w:t xml:space="preserve">LLM as drafter, you as editor. </w:t>
      </w:r>
      <w:r>
        <w:t xml:space="preserve">Draft with an AI, then correct it. Log prompts in prompt-log.md and show at least one specific iteration (a gap you found and how you fixed it).</w:t>
      </w:r>
    </w:p>
    <w:p>
      <w:pPr>
        <w:pStyle w:val="Heading2"/>
      </w:pPr>
      <w:r>
        <w:t xml:space="preserve">Deliverable</w:t>
      </w:r>
    </w:p>
    <w:p>
      <w:pPr>
        <w:pStyle w:val="ListParagraph"/>
        <w:numPr>
          <w:ilvl w:val="0"/>
          <w:numId w:val="3"/>
        </w:numPr>
      </w:pPr>
      <w:r>
        <w:t xml:space="preserve">File: docs/specs/YYYY-MM-DD-{lastname}-{scenario-slug}-spec.md</w:t>
      </w:r>
    </w:p>
    <w:p>
      <w:pPr>
        <w:pStyle w:val="ListParagraph"/>
        <w:numPr>
          <w:ilvl w:val="0"/>
          <w:numId w:val="3"/>
        </w:numPr>
      </w:pPr>
      <w:r>
        <w:t xml:space="preserve">Plus updated prompt-log.md. Committed and pushed.</w:t>
      </w:r>
    </w:p>
    <w:p>
      <w:pPr>
        <w:pStyle w:val="Heading2"/>
      </w:pPr>
      <w:r>
        <w:t xml:space="preserve">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Named-range contract &amp; tab 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inputs table with units, placeholders, Phase-4 sources; every tab named with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Calculation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Correct, correctly ordered logic for all three hedge families in named-range notation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&amp; sensitivity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Concrete check figures; sensitivity design fully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Reproducibility &amp; prompt 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Buildable by a context-free reader; human-in-the-loop iteration evidenced</w:t>
            </w:r>
          </w:p>
        </w:tc>
      </w:tr>
    </w:tbl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3"/>
        </w:numPr>
      </w:pPr>
      <w:r>
        <w:t xml:space="preserve">Full instructions (website): </w:t>
      </w:r>
      <w:hyperlink w:history="1" r:id="rIdtayfrcgt60ouzjtxed2w6">
        <w:r>
          <w:rPr>
            <w:rStyle w:val="Hyperlink"/>
            <w:color w:val="0563C1"/>
            <w:u w:val="single"/>
          </w:rPr>
          <w:t xml:space="preserve">https://adamwstauffer.github.io/ai-lms/fx-hedging-stage2.html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Open Sans" w:cs="Open Sans" w:eastAsia="Open Sans" w:hAnsi="Open Sans"/>
      <w:b/>
      <w:bCs/>
      <w:color w:val="02473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Open Sans" w:cs="Open Sans" w:eastAsia="Open Sans" w:hAnsi="Open Sans"/>
      <w:b/>
      <w:bCs/>
      <w:color w:val="0247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rhlrypftbw_8jyz1c1r2" Type="http://schemas.openxmlformats.org/officeDocument/2006/relationships/hyperlink" Target="https://adamwstauffer.github.io/ai-lms/fx-hedging-stage2.html" TargetMode="External"/><Relationship Id="rIdtayfrcgt60ouzjtxed2w6" Type="http://schemas.openxmlformats.org/officeDocument/2006/relationships/hyperlink" Target="https://adamwstauffer.github.io/ai-lms/fx-hedging-stage2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— Model Specification</dc:title>
  <dc:creator>Adam W. Stauffer</dc:creator>
  <cp:lastModifiedBy>Un-named</cp:lastModifiedBy>
  <cp:revision>1</cp:revision>
  <dcterms:created xsi:type="dcterms:W3CDTF">2026-07-23T20:16:26.153Z</dcterms:created>
  <dcterms:modified xsi:type="dcterms:W3CDTF">2026-07-23T20:16:26.153Z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