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4 — Market Data + Population</w:t>
      </w:r>
    </w:p>
    <w:p>
      <w:pPr>
        <w:spacing w:after="160"/>
      </w:pPr>
      <w:r>
        <w:rPr>
          <w:i/>
          <w:iCs/>
          <w:color w:val="595959"/>
        </w:rPr>
        <w:t xml:space="preserve">FIN 321 · International Business Finance · Summer 2026 (Sec. 701)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7EFEB" w:val="clear"/>
            <w:tcMar>
              <w:top w:type="dxa" w:w="80"/>
              <w:left w:type="dxa" w:w="120"/>
              <w:bottom w:type="dxa" w:w="80"/>
              <w:right w:type="dxa" w:w="120"/>
            </w:tcMar>
          </w:tcPr>
          <w:p>
            <w:r>
              <w:rPr>
                <w:b/>
                <w:bCs/>
                <w:color w:val="024731"/>
              </w:rPr>
              <w:t xml:space="preserve">Points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 / 20</w:t>
            </w:r>
            <w:r>
              <w:t xml:space="preserve">  (12% of the project)</w:t>
            </w:r>
          </w:p>
        </w:tc>
      </w:tr>
      <w:tr>
        <w:tc>
          <w:tcPr>
            <w:tcW w:type="dxa" w:w="2200"/>
            <w:tcBorders>
              <w:top w:val="single" w:color="CCCCCC" w:sz="1"/>
              <w:left w:val="single" w:color="CCCCCC" w:sz="1"/>
              <w:bottom w:val="single" w:color="CCCCCC" w:sz="1"/>
              <w:right w:val="single" w:color="CCCCCC" w:sz="1"/>
            </w:tcBorders>
            <w:shd w:fill="E7EFEB" w:val="clear"/>
            <w:tcMar>
              <w:top w:type="dxa" w:w="80"/>
              <w:left w:type="dxa" w:w="120"/>
              <w:bottom w:type="dxa" w:w="80"/>
              <w:right w:type="dxa" w:w="120"/>
            </w:tcMar>
          </w:tcPr>
          <w:p>
            <w:r>
              <w:rPr>
                <w:b/>
                <w:bCs/>
                <w:color w:val="024731"/>
              </w:rPr>
              <w:t xml:space="preserve">Due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Friday, August 7, 2026 · 11:59 PM HST</w:t>
            </w:r>
          </w:p>
        </w:tc>
      </w:tr>
      <w:tr>
        <w:tc>
          <w:tcPr>
            <w:tcW w:type="dxa" w:w="2200"/>
            <w:tcBorders>
              <w:top w:val="single" w:color="CCCCCC" w:sz="1"/>
              <w:left w:val="single" w:color="CCCCCC" w:sz="1"/>
              <w:bottom w:val="single" w:color="CCCCCC" w:sz="1"/>
              <w:right w:val="single" w:color="CCCCCC" w:sz="1"/>
            </w:tcBorders>
            <w:shd w:fill="E7EFEB" w:val="clear"/>
            <w:tcMar>
              <w:top w:type="dxa" w:w="80"/>
              <w:left w:type="dxa" w:w="120"/>
              <w:bottom w:type="dxa" w:w="80"/>
              <w:right w:type="dxa" w:w="120"/>
            </w:tcMar>
          </w:tcPr>
          <w:p>
            <w:r>
              <w:rPr>
                <w:b/>
                <w:bCs/>
                <w:color w:val="024731"/>
              </w:rPr>
              <w:t xml:space="preserve">Instructions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fmw4zc9jde0bunmnv6ik">
              <w:r>
                <w:rPr>
                  <w:rStyle w:val="Hyperlink"/>
                  <w:color w:val="0563C1"/>
                  <w:u w:val="single"/>
                </w:rPr>
                <w:t xml:space="preserve">https://adamwstauffer.github.io/ai-lms/fx-hedging-stage4.html</w:t>
              </w:r>
            </w:hyperlink>
          </w:p>
        </w:tc>
      </w:tr>
      <w:tr>
        <w:tc>
          <w:tcPr>
            <w:tcW w:type="dxa" w:w="2200"/>
            <w:tcBorders>
              <w:top w:val="single" w:color="CCCCCC" w:sz="1"/>
              <w:left w:val="single" w:color="CCCCCC" w:sz="1"/>
              <w:bottom w:val="single" w:color="CCCCCC" w:sz="1"/>
              <w:right w:val="single" w:color="CCCCCC" w:sz="1"/>
            </w:tcBorders>
            <w:shd w:fill="E7EFEB" w:val="clear"/>
            <w:tcMar>
              <w:top w:type="dxa" w:w="80"/>
              <w:left w:type="dxa" w:w="120"/>
              <w:bottom w:type="dxa" w:w="80"/>
              <w:right w:type="dxa" w:w="120"/>
            </w:tcMar>
          </w:tcPr>
          <w:p>
            <w:r>
              <w:rPr>
                <w:b/>
                <w:bCs/>
                <w:color w:val="024731"/>
              </w:rPr>
              <w:t xml:space="preserve">FX Hedging Lab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4dvf7bach2m7mbfvum42">
              <w:r>
                <w:rPr>
                  <w:rStyle w:val="Hyperlink"/>
                  <w:color w:val="0563C1"/>
                  <w:u w:val="single"/>
                </w:rPr>
                <w:t xml:space="preserve">https://adamwstauffer.github.io/ai-lms/fxlab.html</w:t>
              </w:r>
            </w:hyperlink>
          </w:p>
        </w:tc>
      </w:tr>
      <w:tr>
        <w:tc>
          <w:tcPr>
            <w:tcW w:type="dxa" w:w="2200"/>
            <w:tcBorders>
              <w:top w:val="single" w:color="CCCCCC" w:sz="1"/>
              <w:left w:val="single" w:color="CCCCCC" w:sz="1"/>
              <w:bottom w:val="single" w:color="CCCCCC" w:sz="1"/>
              <w:right w:val="single" w:color="CCCCCC" w:sz="1"/>
            </w:tcBorders>
            <w:shd w:fill="E7EFEB" w:val="clear"/>
            <w:tcMar>
              <w:top w:type="dxa" w:w="80"/>
              <w:left w:type="dxa" w:w="120"/>
              <w:bottom w:type="dxa" w:w="80"/>
              <w:right w:type="dxa" w:w="120"/>
            </w:tcMar>
          </w:tcPr>
          <w:p>
            <w:r>
              <w:rPr>
                <w:b/>
                <w:bCs/>
                <w:color w:val="024731"/>
              </w:rPr>
              <w:t xml:space="preserve">Submit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 &amp; push the market-data memo + repopulated workbook; submit links via Lamaku</w:t>
            </w:r>
          </w:p>
        </w:tc>
      </w:tr>
    </w:tbl>
    <w:p/>
    <w:p>
      <w:pPr>
        <w:pStyle w:val="Heading2"/>
      </w:pPr>
      <w:r>
        <w:t xml:space="preserve">Goal</w:t>
      </w:r>
    </w:p>
    <w:p>
      <w:r>
        <w:t xml:space="preserve">Replace your placeholder inputs with live market data, document exactly where every number came from, and confirm the model survives contact with reality. Because everyone retrieves data on their own date, every student’s numbers are unique — and that’s intended.</w:t>
      </w:r>
    </w:p>
    <w:p>
      <w:pPr>
        <w:pStyle w:val="Heading2"/>
      </w:pPr>
      <w:r>
        <w:t xml:space="preserve">Retrieve (as of market close on the day you begin this phase)</w:t>
      </w:r>
    </w:p>
    <w:p>
      <w:pPr>
        <w:pStyle w:val="ListParagraph"/>
        <w:numPr>
          <w:ilvl w:val="0"/>
          <w:numId w:val="2"/>
        </w:numPr>
      </w:pPr>
      <w:r>
        <w:t xml:space="preserve">S0_in — EURUSD spot (Yahoo Finance, ECB reference rate, Bloomberg, etc.). Record source + timestamp.</w:t>
      </w:r>
    </w:p>
    <w:p>
      <w:pPr>
        <w:pStyle w:val="ListParagraph"/>
        <w:numPr>
          <w:ilvl w:val="0"/>
          <w:numId w:val="2"/>
        </w:numPr>
      </w:pPr>
      <w:r>
        <w:t xml:space="preserve">R_USD, R_FC — 1-year interest rates (a government yield or deposit/reference rate per currency). Document which rate you chose and why — the choice matters more than the decimals.</w:t>
      </w:r>
    </w:p>
    <w:p>
      <w:pPr>
        <w:pStyle w:val="ListParagraph"/>
        <w:numPr>
          <w:ilvl w:val="0"/>
          <w:numId w:val="2"/>
        </w:numPr>
      </w:pPr>
      <w:r>
        <w:t xml:space="preserve">F0_in — 1-year forward: a live quote if you can find one, otherwise compute the CIP-implied forward F0 = S0 × (1 + R_USD×T/360) / (1 + R_FC×T/360) and say so. Compare to your scenario’s indicative forward and comment on the gap.</w:t>
      </w:r>
    </w:p>
    <w:p>
      <w:pPr>
        <w:pStyle w:val="ListParagraph"/>
        <w:numPr>
          <w:ilvl w:val="0"/>
          <w:numId w:val="2"/>
        </w:numPr>
      </w:pPr>
      <w:r>
        <w:t xml:space="preserve">K_PUT, K_CALL — strikes at/near your live spot, per the scenario convention.</w:t>
      </w:r>
    </w:p>
    <w:p>
      <w:pPr>
        <w:pStyle w:val="ListParagraph"/>
        <w:numPr>
          <w:ilvl w:val="0"/>
          <w:numId w:val="2"/>
        </w:numPr>
      </w:pPr>
      <w:r>
        <w:t xml:space="preserve">PREM_PUT, PREM_CALL — keep the scenario-given premiums (note this as an assumption).</w:t>
      </w:r>
    </w:p>
    <w:p>
      <w:pPr>
        <w:pStyle w:val="ListParagraph"/>
        <w:numPr>
          <w:ilvl w:val="0"/>
          <w:numId w:val="2"/>
        </w:numPr>
      </w:pPr>
      <w:r>
        <w:t xml:space="preserve">FC_AMT, T_DAYS — from your scenario.</w:t>
      </w:r>
    </w:p>
    <w:p>
      <w:pPr>
        <w:pStyle w:val="Heading2"/>
      </w:pPr>
      <w:r>
        <w:t xml:space="preserve">Then</w:t>
      </w:r>
    </w:p>
    <w:p>
      <w:pPr>
        <w:pStyle w:val="ListParagraph"/>
        <w:numPr>
          <w:ilvl w:val="0"/>
          <w:numId w:val="3"/>
        </w:numPr>
      </w:pPr>
      <w:r>
        <w:t xml:space="preserve">Write the market-data memo — data/YYYY-MM-DD-{lastname}-market-data.md: a table of every input with value, source, retrieval timestamp, and any proxy/computation. An auditor should be able to re-pull every number.</w:t>
      </w:r>
    </w:p>
    <w:p>
      <w:pPr>
        <w:pStyle w:val="ListParagraph"/>
        <w:numPr>
          <w:ilvl w:val="0"/>
          <w:numId w:val="3"/>
        </w:numPr>
      </w:pPr>
      <w:r>
        <w:t xml:space="preserve">Populate the workbook — enter live values into the named-range input cells; nothing else should need to change. If a formula breaks, the structure was wrong — fix it and record what you fixed (finding it is the exercise, not a penalty).</w:t>
      </w:r>
    </w:p>
    <w:p>
      <w:pPr>
        <w:pStyle w:val="ListParagraph"/>
        <w:numPr>
          <w:ilvl w:val="0"/>
          <w:numId w:val="3"/>
        </w:numPr>
      </w:pPr>
      <w:r>
        <w:t xml:space="preserve">Re-run the checks — parity check passes with live data; sensitivity table and chart recalculate around the new spot.</w:t>
      </w:r>
    </w:p>
    <w:p>
      <w:pPr>
        <w:pStyle w:val="ListParagraph"/>
        <w:numPr>
          <w:ilvl w:val="0"/>
          <w:numId w:val="3"/>
        </w:numPr>
      </w:pPr>
      <w:r>
        <w:t xml:space="preserve">Cross-check against the FX Hedging Lab — enter your live inputs into the lab and compare its forward / money-market / option outputs to your workbook. If they disagree, find out which is wrong before submitting and record the resolution in the memo.</w:t>
      </w:r>
    </w:p>
    <w:p>
      <w:pPr>
        <w:pStyle w:val="Heading2"/>
      </w:pPr>
      <w:r>
        <w:t xml:space="preserve">Deliverables</w:t>
      </w:r>
    </w:p>
    <w:p>
      <w:pPr>
        <w:pStyle w:val="ListParagraph"/>
        <w:numPr>
          <w:ilvl w:val="0"/>
          <w:numId w:val="2"/>
        </w:numPr>
      </w:pPr>
      <w:r>
        <w:t xml:space="preserve">Market-data memo: data/YYYY-MM-DD-{lastname}-market-data.md</w:t>
      </w:r>
    </w:p>
    <w:p>
      <w:pPr>
        <w:pStyle w:val="ListParagraph"/>
        <w:numPr>
          <w:ilvl w:val="0"/>
          <w:numId w:val="2"/>
        </w:numPr>
      </w:pPr>
      <w:r>
        <w:t xml:space="preserve">Re-committed workbook (same file, new commit noting the population + any structural fixes)</w:t>
      </w:r>
    </w:p>
    <w:p>
      <w:pPr>
        <w:pStyle w:val="ListParagraph"/>
        <w:numPr>
          <w:ilvl w:val="0"/>
          <w:numId w:val="2"/>
        </w:numPr>
      </w:pPr>
      <w:r>
        <w:t xml:space="preserve">Updated prompt-log.md if AI assisted the data hunt.</w:t>
      </w:r>
    </w:p>
    <w:p>
      <w:r>
        <w:rPr>
          <w:b/>
          <w:bCs/>
        </w:rPr>
        <w:t xml:space="preserve">Note: </w:t>
      </w:r>
      <w:r>
        <w:t xml:space="preserve">From here on, instructor feedback may arrive as a pull request — a proposed change shown as a line-by-line diff. Read it, merge it, edit on top, hand it to an LLM, or push back with reasons. Reasoned disagreement is a professional skill and is explicitly welcome.</w:t>
      </w:r>
    </w:p>
    <w:p>
      <w:pPr>
        <w:pStyle w:val="Heading2"/>
      </w:pPr>
      <w:r>
        <w:t xml:space="preserve">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CCCCC" w:sz="1"/>
              <w:left w:val="single" w:color="CCCCCC" w:sz="1"/>
              <w:bottom w:val="single" w:color="CCCCCC" w:sz="1"/>
              <w:right w:val="single" w:color="CCCCCC" w:sz="1"/>
            </w:tcBorders>
            <w:shd w:fill="024731" w:val="clear"/>
            <w:tcMar>
              <w:top w:type="dxa" w:w="80"/>
              <w:left w:type="dxa" w:w="120"/>
              <w:bottom w:type="dxa" w:w="80"/>
              <w:right w:type="dxa" w:w="120"/>
            </w:tcMar>
          </w:tcPr>
          <w:p>
            <w:r>
              <w:rPr>
                <w:b/>
                <w:bCs/>
                <w:color w:val="FFFFFF"/>
              </w:rPr>
              <w:t xml:space="preserve">Criterion</w:t>
            </w:r>
          </w:p>
        </w:tc>
        <w:tc>
          <w:tcPr>
            <w:tcW w:type="dxa" w:w="1000"/>
            <w:tcBorders>
              <w:top w:val="single" w:color="CCCCCC" w:sz="1"/>
              <w:left w:val="single" w:color="CCCCCC" w:sz="1"/>
              <w:bottom w:val="single" w:color="CCCCCC" w:sz="1"/>
              <w:right w:val="single" w:color="CCCCCC" w:sz="1"/>
            </w:tcBorders>
            <w:shd w:fill="024731" w:val="clear"/>
            <w:tcMar>
              <w:top w:type="dxa" w:w="80"/>
              <w:left w:type="dxa" w:w="120"/>
              <w:bottom w:type="dxa" w:w="80"/>
              <w:right w:type="dxa" w:w="120"/>
            </w:tcMar>
          </w:tcPr>
          <w:p>
            <w:r>
              <w:rPr>
                <w:b/>
                <w:bCs/>
                <w:color w:val="FFFFFF"/>
              </w:rPr>
              <w:t xml:space="preserve">Weight</w:t>
            </w:r>
          </w:p>
        </w:tc>
        <w:tc>
          <w:tcPr>
            <w:tcW w:type="dxa" w:w="5360"/>
            <w:tcBorders>
              <w:top w:val="single" w:color="CCCCCC" w:sz="1"/>
              <w:left w:val="single" w:color="CCCCCC" w:sz="1"/>
              <w:bottom w:val="single" w:color="CCCCCC" w:sz="1"/>
              <w:right w:val="single" w:color="CCCCCC" w:sz="1"/>
            </w:tcBorders>
            <w:shd w:fill="024731"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quality &amp; provenance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input sourced, timestamped, proxies documented; sensible rate choices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resolves cleanly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data loads through named ranges; checks pass; fixes documented honestly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cross-check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Comparison performed and documented; discrepancies resolved</w:t>
            </w:r>
          </w:p>
        </w:tc>
      </w:tr>
    </w:tbl>
    <w:p>
      <w:pPr>
        <w:pStyle w:val="Heading2"/>
      </w:pPr>
      <w:r>
        <w:t xml:space="preserve">Links</w:t>
      </w:r>
    </w:p>
    <w:p>
      <w:pPr>
        <w:pStyle w:val="ListParagraph"/>
        <w:numPr>
          <w:ilvl w:val="0"/>
          <w:numId w:val="2"/>
        </w:numPr>
      </w:pPr>
      <w:r>
        <w:t xml:space="preserve">Full instructions (website): </w:t>
      </w:r>
      <w:hyperlink w:history="1" r:id="rIdnedl95e1kjveldgtntyv7">
        <w:r>
          <w:rPr>
            <w:rStyle w:val="Hyperlink"/>
            <w:color w:val="0563C1"/>
            <w:u w:val="single"/>
          </w:rPr>
          <w:t xml:space="preserve">https://adamwstauffer.github.io/ai-lms/fx-hedging-stage4.html</w:t>
        </w:r>
      </w:hyperlink>
    </w:p>
    <w:p>
      <w:pPr>
        <w:pStyle w:val="ListParagraph"/>
        <w:numPr>
          <w:ilvl w:val="0"/>
          <w:numId w:val="2"/>
        </w:numPr>
      </w:pPr>
      <w:r>
        <w:t xml:space="preserve">FX Hedging Lab: </w:t>
      </w:r>
      <w:hyperlink w:history="1" r:id="rIdlrik6i29vrw4gdt7emgi-">
        <w:r>
          <w:rPr>
            <w:rStyle w:val="Hyperlink"/>
            <w:color w:val="0563C1"/>
            <w:u w:val="single"/>
          </w:rPr>
          <w:t xml:space="preserve">https://adamwstauffer.github.io/ai-lms/fxlab.html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Open Sans" w:cs="Open Sans" w:eastAsia="Open Sans" w:hAnsi="Open Sans"/>
      <w:b/>
      <w:bCs/>
      <w:color w:val="024731"/>
      <w:sz w:val="32"/>
      <w:szCs w:val="32"/>
    </w:rPr>
  </w:style>
  <w:style w:type="paragraph" w:styleId="Heading2">
    <w:name w:val="Heading 2"/>
    <w:basedOn w:val="Normal"/>
    <w:next w:val="Normal"/>
    <w:qFormat/>
    <w:pPr>
      <w:spacing w:after="100" w:before="220"/>
      <w:outlineLvl w:val="1"/>
    </w:pPr>
    <w:rPr>
      <w:rFonts w:ascii="Open Sans" w:cs="Open Sans" w:eastAsia="Open Sans" w:hAnsi="Open Sans"/>
      <w:b/>
      <w:bCs/>
      <w:color w:val="02473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mw4zc9jde0bunmnv6ik" Type="http://schemas.openxmlformats.org/officeDocument/2006/relationships/hyperlink" Target="https://adamwstauffer.github.io/ai-lms/fx-hedging-stage4.html" TargetMode="External"/><Relationship Id="rIdx4dvf7bach2m7mbfvum42" Type="http://schemas.openxmlformats.org/officeDocument/2006/relationships/hyperlink" Target="https://adamwstauffer.github.io/ai-lms/fxlab.html" TargetMode="External"/><Relationship Id="rIdnedl95e1kjveldgtntyv7" Type="http://schemas.openxmlformats.org/officeDocument/2006/relationships/hyperlink" Target="https://adamwstauffer.github.io/ai-lms/fx-hedging-stage4.html" TargetMode="External"/><Relationship Id="rIdlrik6i29vrw4gdt7emgi-" Type="http://schemas.openxmlformats.org/officeDocument/2006/relationships/hyperlink" Target="https://adamwstauffer.github.io/ai-lms/fxlab.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 Market Data + Population</dc:title>
  <dc:creator>Adam W. Stauffer</dc:creator>
  <cp:lastModifiedBy>Un-named</cp:lastModifiedBy>
  <cp:revision>1</cp:revision>
  <dcterms:created xsi:type="dcterms:W3CDTF">2026-07-23T20:16:26.186Z</dcterms:created>
  <dcterms:modified xsi:type="dcterms:W3CDTF">2026-07-23T20:16:26.186Z</dcterms:modified>
</cp:coreProperties>
</file>

<file path=docProps/custom.xml><?xml version="1.0" encoding="utf-8"?>
<Properties xmlns="http://schemas.openxmlformats.org/officeDocument/2006/custom-properties" xmlns:vt="http://schemas.openxmlformats.org/officeDocument/2006/docPropsVTypes"/>
</file>