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58"/>
        <w:tblGridChange w:id="0">
          <w:tblGrid>
            <w:gridCol w:w="9558"/>
          </w:tblGrid>
        </w:tblGridChange>
      </w:tblGrid>
      <w:tr>
        <w:trPr>
          <w:cantSplit w:val="1"/>
          <w:trHeight w:val="1790" w:hRule="atLeast"/>
          <w:tblHeader w:val="0"/>
        </w:trPr>
        <w:tc>
          <w:tcPr/>
          <w:p w:rsidR="00000000" w:rsidDel="00000000" w:rsidP="00000000" w:rsidRDefault="00000000" w:rsidRPr="00000000" w14:paraId="00000003">
            <w:pPr>
              <w:spacing w:before="180" w:lineRule="auto"/>
              <w:jc w:val="center"/>
              <w:rPr>
                <w:sz w:val="18"/>
                <w:szCs w:val="18"/>
              </w:rPr>
            </w:pPr>
            <w:r w:rsidDel="00000000" w:rsidR="00000000" w:rsidRPr="00000000">
              <w:rPr>
                <w:sz w:val="18"/>
                <w:szCs w:val="18"/>
              </w:rPr>
              <w:pict>
                <v:shape id="Picture 1" style="width:94.15pt;height:94.15pt;visibility:visible" o:spid="_x0000_i1025" type="#_x0000_t75">
                  <v:imagedata cropbottom="-105f" cropleft="-105f" cropright="-105f" croptop="-105f" r:id="rId1" o:title=""/>
                </v:shape>
              </w:pict>
            </w:r>
            <w:r w:rsidDel="00000000" w:rsidR="00000000" w:rsidRPr="00000000">
              <w:rPr>
                <w:rtl w:val="0"/>
              </w:rPr>
            </w:r>
          </w:p>
          <w:p w:rsidR="00000000" w:rsidDel="00000000" w:rsidP="00000000" w:rsidRDefault="00000000" w:rsidRPr="00000000" w14:paraId="00000004">
            <w:pPr>
              <w:spacing w:after="144" w:before="120" w:lineRule="auto"/>
              <w:jc w:val="center"/>
              <w:rPr>
                <w:b w:val="1"/>
              </w:rPr>
            </w:pPr>
            <w:r w:rsidDel="00000000" w:rsidR="00000000" w:rsidRPr="00000000">
              <w:rPr>
                <w:b w:val="1"/>
                <w:rtl w:val="0"/>
              </w:rPr>
              <w:t xml:space="preserve">REPUBLIC OF THE MARSHALL ISLANDS</w:t>
            </w:r>
          </w:p>
          <w:p w:rsidR="00000000" w:rsidDel="00000000" w:rsidP="00000000" w:rsidRDefault="00000000" w:rsidRPr="00000000" w14:paraId="00000005">
            <w:pPr>
              <w:spacing w:after="144" w:before="120" w:lineRule="auto"/>
              <w:jc w:val="center"/>
              <w:rPr>
                <w:b w:val="1"/>
              </w:rPr>
            </w:pPr>
            <w:r w:rsidDel="00000000" w:rsidR="00000000" w:rsidRPr="00000000">
              <w:rPr>
                <w:b w:val="1"/>
                <w:rtl w:val="0"/>
              </w:rPr>
              <w:t xml:space="preserve">OFFICE OF THE MARITIME ADMINISTRATOR</w:t>
            </w:r>
          </w:p>
          <w:p w:rsidR="00000000" w:rsidDel="00000000" w:rsidP="00000000" w:rsidRDefault="00000000" w:rsidRPr="00000000" w14:paraId="00000006">
            <w:pPr>
              <w:keepNext w:val="1"/>
              <w:spacing w:after="144" w:before="120" w:lineRule="auto"/>
              <w:jc w:val="center"/>
              <w:rPr>
                <w:b w:val="1"/>
              </w:rPr>
            </w:pPr>
            <w:r w:rsidDel="00000000" w:rsidR="00000000" w:rsidRPr="00000000">
              <w:rPr>
                <w:b w:val="1"/>
                <w:rtl w:val="0"/>
              </w:rPr>
              <w:t xml:space="preserve">Application Form for RMI Yacht Code</w:t>
            </w:r>
          </w:p>
          <w:p w:rsidR="00000000" w:rsidDel="00000000" w:rsidP="00000000" w:rsidRDefault="00000000" w:rsidRPr="00000000" w14:paraId="00000007">
            <w:pPr>
              <w:keepNext w:val="1"/>
              <w:spacing w:after="144" w:before="120" w:lineRule="auto"/>
              <w:jc w:val="center"/>
              <w:rPr>
                <w:b w:val="1"/>
                <w:sz w:val="20"/>
                <w:szCs w:val="20"/>
              </w:rPr>
            </w:pPr>
            <w:r w:rsidDel="00000000" w:rsidR="00000000" w:rsidRPr="00000000">
              <w:rPr>
                <w:b w:val="1"/>
                <w:rtl w:val="0"/>
              </w:rPr>
              <w:t xml:space="preserve">Exemptions and Equivalencies</w:t>
            </w:r>
            <w:r w:rsidDel="00000000" w:rsidR="00000000" w:rsidRPr="00000000">
              <w:rPr>
                <w:b w:val="1"/>
                <w:sz w:val="32"/>
                <w:szCs w:val="32"/>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08">
            <w:pPr>
              <w:spacing w:after="60" w:before="60" w:lineRule="auto"/>
              <w:rPr>
                <w:sz w:val="20"/>
                <w:szCs w:val="20"/>
              </w:rPr>
            </w:pPr>
            <w:r w:rsidDel="00000000" w:rsidR="00000000" w:rsidRPr="00000000">
              <w:rPr>
                <w:sz w:val="20"/>
                <w:szCs w:val="20"/>
                <w:rtl w:val="0"/>
              </w:rPr>
              <w:t xml:space="preserve">The purpose of this form is to apply for exemptions and equivalencies to the applicable sections of the Republic of the Marshall Islands (RMI) Yacht Code for the certification of Commercial Yachts, Private Yachts Limited Charter, Passenger Yachts, and the Statement of Voluntary Compliance to Commercial and Private Yacht Limited Charter requirements.</w:t>
            </w:r>
          </w:p>
          <w:p w:rsidR="00000000" w:rsidDel="00000000" w:rsidP="00000000" w:rsidRDefault="00000000" w:rsidRPr="00000000" w14:paraId="00000009">
            <w:pPr>
              <w:spacing w:after="60" w:before="60" w:lineRule="auto"/>
              <w:rPr>
                <w:sz w:val="4"/>
                <w:szCs w:val="4"/>
              </w:rPr>
            </w:pPr>
            <w:r w:rsidDel="00000000" w:rsidR="00000000" w:rsidRPr="00000000">
              <w:rPr>
                <w:rtl w:val="0"/>
              </w:rPr>
            </w:r>
          </w:p>
          <w:p w:rsidR="00000000" w:rsidDel="00000000" w:rsidP="00000000" w:rsidRDefault="00000000" w:rsidRPr="00000000" w14:paraId="0000000A">
            <w:pPr>
              <w:spacing w:after="60" w:before="60" w:lineRule="auto"/>
              <w:rPr>
                <w:sz w:val="20"/>
                <w:szCs w:val="20"/>
              </w:rPr>
            </w:pPr>
            <w:r w:rsidDel="00000000" w:rsidR="00000000" w:rsidRPr="00000000">
              <w:rPr>
                <w:sz w:val="20"/>
                <w:szCs w:val="20"/>
                <w:rtl w:val="0"/>
              </w:rPr>
              <w:t xml:space="preserve">This application form shall be completed by the Recognized Organization (RO) or Appointed Representative (AR) and submitted to the Administrator for review and approval.  Each application shall be supported by appropriate documentation, calculations, technical justification and recommendation as per RMI Yacht Code Section 31.3.3.</w:t>
            </w:r>
          </w:p>
          <w:p w:rsidR="00000000" w:rsidDel="00000000" w:rsidP="00000000" w:rsidRDefault="00000000" w:rsidRPr="00000000" w14:paraId="0000000B">
            <w:pPr>
              <w:spacing w:after="60" w:before="60" w:lineRule="auto"/>
              <w:rPr>
                <w:sz w:val="20"/>
                <w:szCs w:val="20"/>
              </w:rPr>
            </w:pPr>
            <w:r w:rsidDel="00000000" w:rsidR="00000000" w:rsidRPr="00000000">
              <w:rPr>
                <w:sz w:val="20"/>
                <w:szCs w:val="20"/>
                <w:rtl w:val="0"/>
              </w:rPr>
              <w:t xml:space="preserve">If multiple exemptions or equivalencies are requested, these should be submitted on </w:t>
            </w:r>
            <w:r w:rsidDel="00000000" w:rsidR="00000000" w:rsidRPr="00000000">
              <w:rPr>
                <w:sz w:val="20"/>
                <w:szCs w:val="20"/>
                <w:u w:val="single"/>
                <w:rtl w:val="0"/>
              </w:rPr>
              <w:t xml:space="preserve">separate</w:t>
            </w:r>
            <w:r w:rsidDel="00000000" w:rsidR="00000000" w:rsidRPr="00000000">
              <w:rPr>
                <w:sz w:val="20"/>
                <w:szCs w:val="20"/>
                <w:rtl w:val="0"/>
              </w:rPr>
              <w:t xml:space="preserve"> application forms.</w:t>
            </w:r>
          </w:p>
        </w:tc>
      </w:tr>
    </w:tbl>
    <w:p w:rsidR="00000000" w:rsidDel="00000000" w:rsidP="00000000" w:rsidRDefault="00000000" w:rsidRPr="00000000" w14:paraId="0000000C">
      <w:pPr>
        <w:rPr/>
      </w:pPr>
      <w:r w:rsidDel="00000000" w:rsidR="00000000" w:rsidRPr="00000000">
        <w:rPr>
          <w:rtl w:val="0"/>
        </w:rPr>
      </w:r>
    </w:p>
    <w:tbl>
      <w:tblPr>
        <w:tblStyle w:val="Table2"/>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4"/>
        <w:gridCol w:w="1674"/>
        <w:gridCol w:w="2520"/>
        <w:gridCol w:w="1260"/>
        <w:gridCol w:w="2250"/>
        <w:tblGridChange w:id="0">
          <w:tblGrid>
            <w:gridCol w:w="1854"/>
            <w:gridCol w:w="1674"/>
            <w:gridCol w:w="2520"/>
            <w:gridCol w:w="1260"/>
            <w:gridCol w:w="2250"/>
          </w:tblGrid>
        </w:tblGridChange>
      </w:tblGrid>
      <w:tr>
        <w:trPr>
          <w:cantSplit w:val="0"/>
          <w:trHeight w:val="792" w:hRule="atLeast"/>
          <w:tblHeader w:val="0"/>
        </w:trPr>
        <w:tc>
          <w:tcPr>
            <w:gridSpan w:val="2"/>
          </w:tcPr>
          <w:p w:rsidR="00000000" w:rsidDel="00000000" w:rsidP="00000000" w:rsidRDefault="00000000" w:rsidRPr="00000000" w14:paraId="0000000D">
            <w:pPr>
              <w:ind w:left="-90" w:right="-108" w:firstLine="0"/>
              <w:jc w:val="center"/>
              <w:rPr>
                <w:b w:val="1"/>
                <w:sz w:val="22"/>
                <w:szCs w:val="22"/>
              </w:rPr>
            </w:pPr>
            <w:r w:rsidDel="00000000" w:rsidR="00000000" w:rsidRPr="00000000">
              <w:rPr>
                <w:b w:val="1"/>
                <w:sz w:val="22"/>
                <w:szCs w:val="22"/>
                <w:rtl w:val="0"/>
              </w:rPr>
              <w:t xml:space="preserve">Name of Yacht / Project Number</w:t>
            </w:r>
          </w:p>
          <w:p w:rsidR="00000000" w:rsidDel="00000000" w:rsidP="00000000" w:rsidRDefault="00000000" w:rsidRPr="00000000" w14:paraId="0000000E">
            <w:pPr>
              <w:jc w:val="center"/>
              <w:rPr>
                <w:b w:val="1"/>
                <w:sz w:val="22"/>
                <w:szCs w:val="22"/>
              </w:rPr>
            </w:pPr>
            <w:r w:rsidDel="00000000" w:rsidR="00000000" w:rsidRPr="00000000">
              <w:rPr>
                <w:rtl w:val="0"/>
              </w:rPr>
            </w:r>
          </w:p>
          <w:p w:rsidR="00000000" w:rsidDel="00000000" w:rsidP="00000000" w:rsidRDefault="00000000" w:rsidRPr="00000000" w14:paraId="0000000F">
            <w:pPr>
              <w:jc w:val="center"/>
              <w:rPr>
                <w:b w:val="1"/>
                <w:sz w:val="22"/>
                <w:szCs w:val="22"/>
              </w:rPr>
            </w:pPr>
            <w:r w:rsidDel="00000000" w:rsidR="00000000" w:rsidRPr="00000000">
              <w:rPr>
                <w:sz w:val="22"/>
                <w:szCs w:val="22"/>
                <w:rtl w:val="0"/>
              </w:rPr>
              <w:t xml:space="preserve">CARPE DIEM</w:t>
            </w:r>
            <w:r w:rsidDel="00000000" w:rsidR="00000000" w:rsidRPr="00000000">
              <w:rPr>
                <w:rtl w:val="0"/>
              </w:rPr>
            </w:r>
          </w:p>
        </w:tc>
        <w:tc>
          <w:tcPr/>
          <w:p w:rsidR="00000000" w:rsidDel="00000000" w:rsidP="00000000" w:rsidRDefault="00000000" w:rsidRPr="00000000" w14:paraId="00000011">
            <w:pPr>
              <w:jc w:val="center"/>
              <w:rPr>
                <w:b w:val="1"/>
                <w:sz w:val="22"/>
                <w:szCs w:val="22"/>
              </w:rPr>
            </w:pPr>
            <w:r w:rsidDel="00000000" w:rsidR="00000000" w:rsidRPr="00000000">
              <w:rPr>
                <w:b w:val="1"/>
                <w:sz w:val="22"/>
                <w:szCs w:val="22"/>
                <w:rtl w:val="0"/>
              </w:rPr>
              <w:t xml:space="preserve">Official Number</w:t>
            </w:r>
          </w:p>
          <w:p w:rsidR="00000000" w:rsidDel="00000000" w:rsidP="00000000" w:rsidRDefault="00000000" w:rsidRPr="00000000" w14:paraId="00000012">
            <w:pPr>
              <w:jc w:val="center"/>
              <w:rPr>
                <w:b w:val="1"/>
                <w:sz w:val="22"/>
                <w:szCs w:val="22"/>
              </w:rPr>
            </w:pPr>
            <w:r w:rsidDel="00000000" w:rsidR="00000000" w:rsidRPr="00000000">
              <w:rPr>
                <w:rtl w:val="0"/>
              </w:rPr>
            </w:r>
          </w:p>
          <w:p w:rsidR="00000000" w:rsidDel="00000000" w:rsidP="00000000" w:rsidRDefault="00000000" w:rsidRPr="00000000" w14:paraId="00000013">
            <w:pPr>
              <w:jc w:val="center"/>
              <w:rPr>
                <w:b w:val="1"/>
                <w:sz w:val="22"/>
                <w:szCs w:val="22"/>
              </w:rPr>
            </w:pPr>
            <w:r w:rsidDel="00000000" w:rsidR="00000000" w:rsidRPr="00000000">
              <w:rPr>
                <w:sz w:val="22"/>
                <w:szCs w:val="22"/>
                <w:rtl w:val="0"/>
              </w:rPr>
              <w:t xml:space="preserve">72125</w:t>
            </w:r>
            <w:r w:rsidDel="00000000" w:rsidR="00000000" w:rsidRPr="00000000">
              <w:rPr>
                <w:rtl w:val="0"/>
              </w:rPr>
            </w:r>
          </w:p>
        </w:tc>
        <w:tc>
          <w:tcPr>
            <w:gridSpan w:val="2"/>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IMO Number (if applicable)</w:t>
            </w:r>
          </w:p>
          <w:p w:rsidR="00000000" w:rsidDel="00000000" w:rsidP="00000000" w:rsidRDefault="00000000" w:rsidRPr="00000000" w14:paraId="00000015">
            <w:pPr>
              <w:jc w:val="center"/>
              <w:rPr>
                <w:b w:val="1"/>
                <w:sz w:val="22"/>
                <w:szCs w:val="22"/>
              </w:rPr>
            </w:pPr>
            <w:r w:rsidDel="00000000" w:rsidR="00000000" w:rsidRPr="00000000">
              <w:rPr>
                <w:rtl w:val="0"/>
              </w:rPr>
            </w:r>
          </w:p>
          <w:p w:rsidR="00000000" w:rsidDel="00000000" w:rsidP="00000000" w:rsidRDefault="00000000" w:rsidRPr="00000000" w14:paraId="00000016">
            <w:pPr>
              <w:jc w:val="center"/>
              <w:rPr>
                <w:b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rHeight w:val="792" w:hRule="atLeast"/>
          <w:tblHeader w:val="0"/>
        </w:trPr>
        <w:tc>
          <w:tcPr>
            <w:gridSpan w:val="2"/>
          </w:tcPr>
          <w:p w:rsidR="00000000" w:rsidDel="00000000" w:rsidP="00000000" w:rsidRDefault="00000000" w:rsidRPr="00000000" w14:paraId="00000018">
            <w:pPr>
              <w:jc w:val="center"/>
              <w:rPr>
                <w:b w:val="1"/>
                <w:sz w:val="22"/>
                <w:szCs w:val="22"/>
              </w:rPr>
            </w:pPr>
            <w:r w:rsidDel="00000000" w:rsidR="00000000" w:rsidRPr="00000000">
              <w:rPr>
                <w:b w:val="1"/>
                <w:sz w:val="22"/>
                <w:szCs w:val="22"/>
                <w:rtl w:val="0"/>
              </w:rPr>
              <w:t xml:space="preserve">Gross Tonnage</w:t>
            </w:r>
          </w:p>
          <w:p w:rsidR="00000000" w:rsidDel="00000000" w:rsidP="00000000" w:rsidRDefault="00000000" w:rsidRPr="00000000" w14:paraId="00000019">
            <w:pPr>
              <w:jc w:val="center"/>
              <w:rPr>
                <w:sz w:val="22"/>
                <w:szCs w:val="22"/>
              </w:rPr>
            </w:pPr>
            <w:r w:rsidDel="00000000" w:rsidR="00000000" w:rsidRPr="00000000">
              <w:rPr>
                <w:rtl w:val="0"/>
              </w:rPr>
            </w:r>
          </w:p>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228</w:t>
            </w:r>
          </w:p>
        </w:tc>
        <w:tc>
          <w:tcPr>
            <w:gridSpan w:val="2"/>
          </w:tcPr>
          <w:p w:rsidR="00000000" w:rsidDel="00000000" w:rsidP="00000000" w:rsidRDefault="00000000" w:rsidRPr="00000000" w14:paraId="0000001C">
            <w:pPr>
              <w:jc w:val="center"/>
              <w:rPr>
                <w:b w:val="1"/>
                <w:sz w:val="22"/>
                <w:szCs w:val="22"/>
              </w:rPr>
            </w:pPr>
            <w:r w:rsidDel="00000000" w:rsidR="00000000" w:rsidRPr="00000000">
              <w:rPr>
                <w:b w:val="1"/>
                <w:sz w:val="22"/>
                <w:szCs w:val="22"/>
                <w:rtl w:val="0"/>
              </w:rPr>
              <w:t xml:space="preserve">Length Load Line</w:t>
            </w:r>
          </w:p>
          <w:p w:rsidR="00000000" w:rsidDel="00000000" w:rsidP="00000000" w:rsidRDefault="00000000" w:rsidRPr="00000000" w14:paraId="0000001D">
            <w:pPr>
              <w:jc w:val="center"/>
              <w:rPr>
                <w:sz w:val="22"/>
                <w:szCs w:val="22"/>
              </w:rPr>
            </w:pPr>
            <w:r w:rsidDel="00000000" w:rsidR="00000000" w:rsidRPr="00000000">
              <w:rPr>
                <w:rtl w:val="0"/>
              </w:rPr>
            </w:r>
          </w:p>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28.86m</w:t>
            </w:r>
          </w:p>
        </w:tc>
        <w:tc>
          <w:tcPr/>
          <w:p w:rsidR="00000000" w:rsidDel="00000000" w:rsidP="00000000" w:rsidRDefault="00000000" w:rsidRPr="00000000" w14:paraId="00000020">
            <w:pPr>
              <w:jc w:val="center"/>
              <w:rPr>
                <w:b w:val="1"/>
                <w:sz w:val="22"/>
                <w:szCs w:val="22"/>
              </w:rPr>
            </w:pPr>
            <w:r w:rsidDel="00000000" w:rsidR="00000000" w:rsidRPr="00000000">
              <w:rPr>
                <w:b w:val="1"/>
                <w:sz w:val="22"/>
                <w:szCs w:val="22"/>
                <w:rtl w:val="0"/>
              </w:rPr>
              <w:t xml:space="preserve">Length Overall</w:t>
            </w:r>
          </w:p>
          <w:p w:rsidR="00000000" w:rsidDel="00000000" w:rsidP="00000000" w:rsidRDefault="00000000" w:rsidRPr="00000000" w14:paraId="00000021">
            <w:pPr>
              <w:jc w:val="center"/>
              <w:rPr>
                <w:sz w:val="22"/>
                <w:szCs w:val="22"/>
              </w:rPr>
            </w:pPr>
            <w:r w:rsidDel="00000000" w:rsidR="00000000" w:rsidRPr="00000000">
              <w:rPr>
                <w:rtl w:val="0"/>
              </w:rPr>
            </w:r>
          </w:p>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31.28m</w:t>
            </w:r>
          </w:p>
        </w:tc>
      </w:tr>
      <w:tr>
        <w:trPr>
          <w:cantSplit w:val="0"/>
          <w:trHeight w:val="792" w:hRule="atLeast"/>
          <w:tblHeader w:val="0"/>
        </w:trPr>
        <w:tc>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RO</w:t>
            </w:r>
          </w:p>
          <w:p w:rsidR="00000000" w:rsidDel="00000000" w:rsidP="00000000" w:rsidRDefault="00000000" w:rsidRPr="00000000" w14:paraId="00000024">
            <w:pPr>
              <w:jc w:val="center"/>
              <w:rPr>
                <w:sz w:val="22"/>
                <w:szCs w:val="22"/>
              </w:rPr>
            </w:pPr>
            <w:r w:rsidDel="00000000" w:rsidR="00000000" w:rsidRPr="00000000">
              <w:rPr>
                <w:rtl w:val="0"/>
              </w:rPr>
            </w:r>
          </w:p>
          <w:p w:rsidR="00000000" w:rsidDel="00000000" w:rsidP="00000000" w:rsidRDefault="00000000" w:rsidRPr="00000000" w14:paraId="00000025">
            <w:pPr>
              <w:jc w:val="center"/>
              <w:rPr>
                <w:sz w:val="22"/>
                <w:szCs w:val="22"/>
              </w:rPr>
            </w:pPr>
            <w:r w:rsidDel="00000000" w:rsidR="00000000" w:rsidRPr="00000000">
              <w:rPr>
                <w:sz w:val="22"/>
                <w:szCs w:val="22"/>
                <w:rtl w:val="0"/>
              </w:rPr>
              <w:t xml:space="preserve">N/A</w:t>
            </w:r>
          </w:p>
        </w:tc>
        <w:tc>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AR</w:t>
            </w:r>
          </w:p>
          <w:p w:rsidR="00000000" w:rsidDel="00000000" w:rsidP="00000000" w:rsidRDefault="00000000" w:rsidRPr="00000000" w14:paraId="00000027">
            <w:pPr>
              <w:jc w:val="center"/>
              <w:rPr>
                <w:sz w:val="22"/>
                <w:szCs w:val="22"/>
              </w:rPr>
            </w:pPr>
            <w:r w:rsidDel="00000000" w:rsidR="00000000" w:rsidRPr="00000000">
              <w:rPr>
                <w:rtl w:val="0"/>
              </w:rPr>
            </w:r>
          </w:p>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NAUTX</w:t>
            </w:r>
          </w:p>
        </w:tc>
        <w:tc>
          <w:tcPr>
            <w:gridSpan w:val="2"/>
          </w:tcPr>
          <w:p w:rsidR="00000000" w:rsidDel="00000000" w:rsidP="00000000" w:rsidRDefault="00000000" w:rsidRPr="00000000" w14:paraId="00000029">
            <w:pPr>
              <w:ind w:left="-108" w:right="-108" w:firstLine="0"/>
              <w:jc w:val="center"/>
              <w:rPr>
                <w:b w:val="1"/>
                <w:sz w:val="22"/>
                <w:szCs w:val="22"/>
              </w:rPr>
            </w:pPr>
            <w:r w:rsidDel="00000000" w:rsidR="00000000" w:rsidRPr="00000000">
              <w:rPr>
                <w:b w:val="1"/>
                <w:sz w:val="22"/>
                <w:szCs w:val="22"/>
                <w:rtl w:val="0"/>
              </w:rPr>
              <w:t xml:space="preserve">Certificate/Statement of Compliance*</w:t>
            </w:r>
          </w:p>
          <w:p w:rsidR="00000000" w:rsidDel="00000000" w:rsidP="00000000" w:rsidRDefault="00000000" w:rsidRPr="00000000" w14:paraId="0000002A">
            <w:pPr>
              <w:jc w:val="center"/>
              <w:rPr>
                <w:sz w:val="22"/>
                <w:szCs w:val="22"/>
              </w:rPr>
            </w:pPr>
            <w:r w:rsidDel="00000000" w:rsidR="00000000" w:rsidRPr="00000000">
              <w:rPr>
                <w:rtl w:val="0"/>
              </w:rPr>
            </w:r>
          </w:p>
          <w:p w:rsidR="00000000" w:rsidDel="00000000" w:rsidP="00000000" w:rsidRDefault="00000000" w:rsidRPr="00000000" w14:paraId="0000002B">
            <w:pPr>
              <w:jc w:val="center"/>
              <w:rPr>
                <w:sz w:val="22"/>
                <w:szCs w:val="22"/>
              </w:rPr>
            </w:pPr>
            <w:r w:rsidDel="00000000" w:rsidR="00000000" w:rsidRPr="00000000">
              <w:rPr>
                <w:sz w:val="22"/>
                <w:szCs w:val="22"/>
                <w:rtl w:val="0"/>
              </w:rPr>
              <w:t xml:space="preserve">PYLC</w:t>
            </w:r>
          </w:p>
        </w:tc>
        <w:tc>
          <w:tcPr/>
          <w:p w:rsidR="00000000" w:rsidDel="00000000" w:rsidP="00000000" w:rsidRDefault="00000000" w:rsidRPr="00000000" w14:paraId="0000002D">
            <w:pPr>
              <w:jc w:val="center"/>
              <w:rPr>
                <w:b w:val="1"/>
                <w:sz w:val="22"/>
                <w:szCs w:val="22"/>
              </w:rPr>
            </w:pPr>
            <w:r w:rsidDel="00000000" w:rsidR="00000000" w:rsidRPr="00000000">
              <w:rPr>
                <w:b w:val="1"/>
                <w:sz w:val="22"/>
                <w:szCs w:val="22"/>
                <w:rtl w:val="0"/>
              </w:rPr>
              <w:t xml:space="preserve">Date of application</w:t>
            </w:r>
          </w:p>
          <w:p w:rsidR="00000000" w:rsidDel="00000000" w:rsidP="00000000" w:rsidRDefault="00000000" w:rsidRPr="00000000" w14:paraId="0000002E">
            <w:pPr>
              <w:jc w:val="center"/>
              <w:rPr>
                <w:sz w:val="22"/>
                <w:szCs w:val="22"/>
              </w:rPr>
            </w:pPr>
            <w:r w:rsidDel="00000000" w:rsidR="00000000" w:rsidRPr="00000000">
              <w:rPr>
                <w:rtl w:val="0"/>
              </w:rPr>
            </w:r>
          </w:p>
          <w:p w:rsidR="00000000" w:rsidDel="00000000" w:rsidP="00000000" w:rsidRDefault="00000000" w:rsidRPr="00000000" w14:paraId="0000002F">
            <w:pPr>
              <w:jc w:val="center"/>
              <w:rPr>
                <w:sz w:val="22"/>
                <w:szCs w:val="22"/>
              </w:rPr>
            </w:pPr>
            <w:r w:rsidDel="00000000" w:rsidR="00000000" w:rsidRPr="00000000">
              <w:rPr>
                <w:sz w:val="22"/>
                <w:szCs w:val="22"/>
                <w:rtl w:val="0"/>
              </w:rPr>
              <w:t xml:space="preserve">25 Jun 24</w:t>
            </w:r>
          </w:p>
        </w:tc>
      </w:tr>
    </w:tbl>
    <w:p w:rsidR="00000000" w:rsidDel="00000000" w:rsidP="00000000" w:rsidRDefault="00000000" w:rsidRPr="00000000" w14:paraId="00000030">
      <w:pPr>
        <w:rPr/>
      </w:pP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31">
            <w:pPr>
              <w:rPr>
                <w:b w:val="1"/>
                <w:sz w:val="22"/>
                <w:szCs w:val="22"/>
              </w:rPr>
            </w:pPr>
            <w:r w:rsidDel="00000000" w:rsidR="00000000" w:rsidRPr="00000000">
              <w:rPr>
                <w:b w:val="1"/>
                <w:sz w:val="22"/>
                <w:szCs w:val="22"/>
                <w:rtl w:val="0"/>
              </w:rPr>
              <w:t xml:space="preserve">Details of exemption/equivalency being applied for including the RMI Yacht Code section reference:</w:t>
            </w:r>
          </w:p>
        </w:tc>
      </w:tr>
      <w:tr>
        <w:trPr>
          <w:cantSplit w:val="0"/>
          <w:trHeight w:val="3096" w:hRule="atLeast"/>
          <w:tblHeader w:val="0"/>
        </w:trPr>
        <w:tc>
          <w:tcPr/>
          <w:p w:rsidR="00000000" w:rsidDel="00000000" w:rsidP="00000000" w:rsidRDefault="00000000" w:rsidRPr="00000000" w14:paraId="00000032">
            <w:pPr>
              <w:rPr>
                <w:sz w:val="22"/>
                <w:szCs w:val="22"/>
              </w:rPr>
            </w:pPr>
            <w:r w:rsidDel="00000000" w:rsidR="00000000" w:rsidRPr="00000000">
              <w:rPr>
                <w:sz w:val="22"/>
                <w:szCs w:val="22"/>
                <w:rtl w:val="0"/>
              </w:rPr>
              <w:t xml:space="preserve">An equivalent arrangement is being applied for in relation to the bulwark and guard rail heights due to the vessel’s size and design. These factors make strict compliance with the ILLC Conditions of Assisgment not reasonable nor practicable for the vessel.</w:t>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sz w:val="22"/>
                <w:szCs w:val="22"/>
                <w:rtl w:val="0"/>
              </w:rPr>
              <w:t xml:space="preserve">RMI Yacht Code References: Chapter IV: 4.1.2, 4.12, 4.13.</w:t>
            </w:r>
          </w:p>
        </w:tc>
      </w:tr>
    </w:tbl>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*State for which compliance the yacht is being or has been certified, i.e. CYCC, PYLC, Voluntary CYCC, Voluntary PYLC or PAXY.</w:t>
      </w:r>
    </w:p>
    <w:p w:rsidR="00000000" w:rsidDel="00000000" w:rsidP="00000000" w:rsidRDefault="00000000" w:rsidRPr="00000000" w14:paraId="00000037">
      <w:pPr>
        <w:rPr>
          <w:sz w:val="20"/>
          <w:szCs w:val="20"/>
        </w:rPr>
      </w:pP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38">
            <w:pPr>
              <w:rPr>
                <w:b w:val="1"/>
                <w:sz w:val="22"/>
                <w:szCs w:val="22"/>
              </w:rPr>
            </w:pPr>
            <w:r w:rsidDel="00000000" w:rsidR="00000000" w:rsidRPr="00000000">
              <w:rPr>
                <w:b w:val="1"/>
                <w:sz w:val="22"/>
                <w:szCs w:val="22"/>
                <w:rtl w:val="0"/>
              </w:rPr>
              <w:t xml:space="preserve">Description and justification for the granting of the exemption/equivalency:</w:t>
            </w:r>
          </w:p>
        </w:tc>
      </w:tr>
      <w:tr>
        <w:trPr>
          <w:cantSplit w:val="0"/>
          <w:trHeight w:val="1584" w:hRule="atLeast"/>
          <w:tblHeader w:val="0"/>
        </w:trPr>
        <w:tc>
          <w:tcPr/>
          <w:p w:rsidR="00000000" w:rsidDel="00000000" w:rsidP="00000000" w:rsidRDefault="00000000" w:rsidRPr="00000000" w14:paraId="00000039">
            <w:pPr>
              <w:rPr>
                <w:sz w:val="22"/>
                <w:szCs w:val="22"/>
              </w:rPr>
            </w:pPr>
            <w:r w:rsidDel="00000000" w:rsidR="00000000" w:rsidRPr="00000000">
              <w:rPr>
                <w:sz w:val="22"/>
                <w:szCs w:val="22"/>
                <w:rtl w:val="0"/>
              </w:rPr>
              <w:t xml:space="preserve">A thorough Risk Assessment has been conducted (included in the package with this YTEC-02). The RA has shown that the as-built arrangement has three (3) areas of moderate risk (please refer to rows 3, 4, and 5 of the RA for details). With a simple arrangement common on other RMI commercial yachts not originally built to ILLC, we are able to mitigate the risks by blocking access to certain portions of the yacht using pad eyes and chains (or similar arrangements such as wire) and locking and ‘tagging out’ two doorways to ensure crew and guests travel through the main salon to get to the aft deck and sundeck.</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In addition to the RA, we have amended the MINI-ISM section 11.12.1 and the SMS-04(D) Pre-Departure Checklist (Deck) (both of which are included in this package with the YTEC-02). to account for this arrangement.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Please note that the SOP referenced in the MINI-ISM and RA has yet to be created. This will be created once the chains and signs are installed so that we can use pictures of the arrangement to provide a simple and very clear SOP for the crew. We will provide the SOP to NautX for review upon completion.</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It should be noted that the forward area of the sundeck has no access overboard due to fixed furniture windscreen, and the fixed arch.</w:t>
            </w:r>
          </w:p>
        </w:tc>
      </w:tr>
    </w:tbl>
    <w:p w:rsidR="00000000" w:rsidDel="00000000" w:rsidP="00000000" w:rsidRDefault="00000000" w:rsidRPr="00000000" w14:paraId="00000040">
      <w:pPr>
        <w:rPr>
          <w:sz w:val="22"/>
          <w:szCs w:val="22"/>
        </w:rPr>
      </w:pPr>
      <w:r w:rsidDel="00000000" w:rsidR="00000000" w:rsidRPr="00000000">
        <w:rPr>
          <w:rtl w:val="0"/>
        </w:rPr>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41">
            <w:pPr>
              <w:rPr>
                <w:b w:val="1"/>
                <w:sz w:val="22"/>
                <w:szCs w:val="22"/>
              </w:rPr>
            </w:pPr>
            <w:r w:rsidDel="00000000" w:rsidR="00000000" w:rsidRPr="00000000">
              <w:rPr>
                <w:b w:val="1"/>
                <w:sz w:val="22"/>
                <w:szCs w:val="22"/>
                <w:rtl w:val="0"/>
              </w:rPr>
              <w:t xml:space="preserve">Recommendation of the surveying entity (RO or AR) to the Administrator for granting the exemption/equivalency:</w:t>
            </w:r>
          </w:p>
        </w:tc>
      </w:tr>
      <w:tr>
        <w:trPr>
          <w:cantSplit w:val="0"/>
          <w:trHeight w:val="1080" w:hRule="atLeast"/>
          <w:tblHeader w:val="0"/>
        </w:trPr>
        <w:tc>
          <w:tcPr/>
          <w:p w:rsidR="00000000" w:rsidDel="00000000" w:rsidP="00000000" w:rsidRDefault="00000000" w:rsidRPr="00000000" w14:paraId="00000042">
            <w:pPr>
              <w:rPr>
                <w:sz w:val="22"/>
                <w:szCs w:val="22"/>
              </w:rPr>
            </w:pPr>
            <w:r w:rsidDel="00000000" w:rsidR="00000000" w:rsidRPr="00000000">
              <w:rPr>
                <w:sz w:val="22"/>
                <w:szCs w:val="22"/>
                <w:rtl w:val="0"/>
              </w:rPr>
              <w:t xml:space="preserve">We recommend granting the equivalency. The RA and accompanying documentation show a thorough understanding of the factors and provide for an acceptable, realistic, and well-documented mitigation of the risks.</w:t>
            </w:r>
          </w:p>
        </w:tc>
      </w:tr>
    </w:tbl>
    <w:p w:rsidR="00000000" w:rsidDel="00000000" w:rsidP="00000000" w:rsidRDefault="00000000" w:rsidRPr="00000000" w14:paraId="00000043">
      <w:pPr>
        <w:rPr>
          <w:sz w:val="22"/>
          <w:szCs w:val="22"/>
        </w:rPr>
      </w:pPr>
      <w:r w:rsidDel="00000000" w:rsidR="00000000" w:rsidRPr="00000000">
        <w:rPr>
          <w:rtl w:val="0"/>
        </w:rPr>
      </w:r>
    </w:p>
    <w:tbl>
      <w:tblPr>
        <w:tblStyle w:val="Table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44">
            <w:pPr>
              <w:rPr>
                <w:b w:val="1"/>
                <w:sz w:val="22"/>
                <w:szCs w:val="22"/>
              </w:rPr>
            </w:pPr>
            <w:r w:rsidDel="00000000" w:rsidR="00000000" w:rsidRPr="00000000">
              <w:rPr>
                <w:b w:val="1"/>
                <w:sz w:val="22"/>
                <w:szCs w:val="22"/>
                <w:rtl w:val="0"/>
              </w:rPr>
              <w:t xml:space="preserve">List of supporting documents attached to this report:</w:t>
            </w:r>
          </w:p>
        </w:tc>
      </w:tr>
      <w:tr>
        <w:trPr>
          <w:cantSplit w:val="0"/>
          <w:trHeight w:val="1814" w:hRule="atLeast"/>
          <w:tblHeader w:val="0"/>
        </w:trPr>
        <w:tc>
          <w:tcPr/>
          <w:p w:rsidR="00000000" w:rsidDel="00000000" w:rsidP="00000000" w:rsidRDefault="00000000" w:rsidRPr="00000000" w14:paraId="00000045">
            <w:pPr>
              <w:numPr>
                <w:ilvl w:val="0"/>
                <w:numId w:val="1"/>
              </w:numPr>
              <w:shd w:fill="ffffff" w:val="clear"/>
              <w:spacing w:after="0" w:afterAutospacing="0" w:before="200" w:lineRule="auto"/>
              <w:ind w:left="720" w:hanging="360"/>
              <w:jc w:val="left"/>
              <w:rPr>
                <w:color w:val="222222"/>
                <w:sz w:val="22"/>
                <w:szCs w:val="22"/>
                <w:u w:val="none"/>
              </w:rPr>
            </w:pPr>
            <w:r w:rsidDel="00000000" w:rsidR="00000000" w:rsidRPr="00000000">
              <w:rPr>
                <w:color w:val="222222"/>
                <w:sz w:val="22"/>
                <w:szCs w:val="22"/>
                <w:rtl w:val="0"/>
              </w:rPr>
              <w:t xml:space="preserve">Risk Assessment No 1 - Bulwarks and Guardrails</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jc w:val="left"/>
              <w:rPr>
                <w:color w:val="222222"/>
                <w:sz w:val="22"/>
                <w:szCs w:val="22"/>
                <w:u w:val="none"/>
              </w:rPr>
            </w:pPr>
            <w:r w:rsidDel="00000000" w:rsidR="00000000" w:rsidRPr="00000000">
              <w:rPr>
                <w:color w:val="222222"/>
                <w:sz w:val="22"/>
                <w:szCs w:val="22"/>
                <w:rtl w:val="0"/>
              </w:rPr>
              <w:t xml:space="preserve">MINI-ISM 11.12.1 Excerpt </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jc w:val="left"/>
              <w:rPr>
                <w:color w:val="222222"/>
                <w:sz w:val="22"/>
                <w:szCs w:val="22"/>
                <w:u w:val="none"/>
              </w:rPr>
            </w:pPr>
            <w:r w:rsidDel="00000000" w:rsidR="00000000" w:rsidRPr="00000000">
              <w:rPr>
                <w:color w:val="222222"/>
                <w:sz w:val="22"/>
                <w:szCs w:val="22"/>
                <w:rtl w:val="0"/>
              </w:rPr>
              <w:t xml:space="preserve">SMS-04(D) - Pre-Departure Checklist (Deck) (RMI Carpe Diem)</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jc w:val="left"/>
              <w:rPr>
                <w:color w:val="222222"/>
                <w:sz w:val="22"/>
                <w:szCs w:val="22"/>
                <w:u w:val="none"/>
              </w:rPr>
            </w:pPr>
            <w:r w:rsidDel="00000000" w:rsidR="00000000" w:rsidRPr="00000000">
              <w:rPr>
                <w:color w:val="222222"/>
                <w:sz w:val="22"/>
                <w:szCs w:val="22"/>
                <w:rtl w:val="0"/>
              </w:rPr>
              <w:t xml:space="preserve">Representative photos</w:t>
            </w:r>
          </w:p>
          <w:p w:rsidR="00000000" w:rsidDel="00000000" w:rsidP="00000000" w:rsidRDefault="00000000" w:rsidRPr="00000000" w14:paraId="00000049">
            <w:pPr>
              <w:numPr>
                <w:ilvl w:val="0"/>
                <w:numId w:val="1"/>
              </w:numPr>
              <w:shd w:fill="ffffff" w:val="clear"/>
              <w:spacing w:after="200" w:before="0" w:beforeAutospacing="0" w:lineRule="auto"/>
              <w:ind w:left="720" w:hanging="360"/>
              <w:jc w:val="left"/>
              <w:rPr>
                <w:color w:val="222222"/>
                <w:sz w:val="22"/>
                <w:szCs w:val="22"/>
                <w:u w:val="none"/>
              </w:rPr>
            </w:pPr>
            <w:r w:rsidDel="00000000" w:rsidR="00000000" w:rsidRPr="00000000">
              <w:rPr>
                <w:color w:val="222222"/>
                <w:sz w:val="22"/>
                <w:szCs w:val="22"/>
                <w:rtl w:val="0"/>
              </w:rPr>
              <w:t xml:space="preserve">Diagrams showing the location of proposed chains (please note that the red areas represent fixed furniture that was not included on the GA, but exists onboard)</w:t>
            </w:r>
            <w:r w:rsidDel="00000000" w:rsidR="00000000" w:rsidRPr="00000000">
              <w:rPr>
                <w:rtl w:val="0"/>
              </w:rPr>
            </w:r>
          </w:p>
        </w:tc>
      </w:tr>
    </w:tbl>
    <w:p w:rsidR="00000000" w:rsidDel="00000000" w:rsidP="00000000" w:rsidRDefault="00000000" w:rsidRPr="00000000" w14:paraId="0000004A">
      <w:pPr>
        <w:rPr>
          <w:sz w:val="22"/>
          <w:szCs w:val="22"/>
        </w:rPr>
      </w:pPr>
      <w:r w:rsidDel="00000000" w:rsidR="00000000" w:rsidRPr="00000000">
        <w:rPr>
          <w:rtl w:val="0"/>
        </w:rPr>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8"/>
        <w:gridCol w:w="1902"/>
        <w:gridCol w:w="4506"/>
        <w:tblGridChange w:id="0">
          <w:tblGrid>
            <w:gridCol w:w="3168"/>
            <w:gridCol w:w="1902"/>
            <w:gridCol w:w="4506"/>
          </w:tblGrid>
        </w:tblGridChange>
      </w:tblGrid>
      <w:tr>
        <w:trPr>
          <w:cantSplit w:val="0"/>
          <w:trHeight w:val="792" w:hRule="atLeast"/>
          <w:tblHeader w:val="0"/>
        </w:trPr>
        <w:tc>
          <w:tcPr/>
          <w:p w:rsidR="00000000" w:rsidDel="00000000" w:rsidP="00000000" w:rsidRDefault="00000000" w:rsidRPr="00000000" w14:paraId="0000004B">
            <w:pPr>
              <w:rPr>
                <w:sz w:val="22"/>
                <w:szCs w:val="22"/>
              </w:rPr>
            </w:pPr>
            <w:r w:rsidDel="00000000" w:rsidR="00000000" w:rsidRPr="00000000">
              <w:rPr>
                <w:b w:val="1"/>
                <w:sz w:val="22"/>
                <w:szCs w:val="22"/>
                <w:rtl w:val="0"/>
              </w:rPr>
              <w:t xml:space="preserve">Name applicant</w:t>
            </w:r>
            <w:r w:rsidDel="00000000" w:rsidR="00000000" w:rsidRPr="00000000">
              <w:rPr>
                <w:sz w:val="22"/>
                <w:szCs w:val="22"/>
                <w:rtl w:val="0"/>
              </w:rPr>
              <w:t xml:space="preserve">:</w:t>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tl w:val="0"/>
              </w:rPr>
              <w:t xml:space="preserve">A Langford</w:t>
            </w:r>
          </w:p>
        </w:tc>
        <w:tc>
          <w:tcPr/>
          <w:p w:rsidR="00000000" w:rsidDel="00000000" w:rsidP="00000000" w:rsidRDefault="00000000" w:rsidRPr="00000000" w14:paraId="0000004E">
            <w:pPr>
              <w:rPr>
                <w:b w:val="1"/>
                <w:sz w:val="22"/>
                <w:szCs w:val="22"/>
              </w:rPr>
            </w:pPr>
            <w:r w:rsidDel="00000000" w:rsidR="00000000" w:rsidRPr="00000000">
              <w:rPr>
                <w:b w:val="1"/>
                <w:sz w:val="22"/>
                <w:szCs w:val="22"/>
                <w:rtl w:val="0"/>
              </w:rPr>
              <w:t xml:space="preserve">Surveying entity:</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tl w:val="0"/>
              </w:rPr>
              <w:t xml:space="preserve">NautX Ltd</w:t>
            </w:r>
          </w:p>
        </w:tc>
        <w:tc>
          <w:tcPr/>
          <w:p w:rsidR="00000000" w:rsidDel="00000000" w:rsidP="00000000" w:rsidRDefault="00000000" w:rsidRPr="00000000" w14:paraId="00000051">
            <w:pPr>
              <w:rPr>
                <w:b w:val="1"/>
                <w:sz w:val="22"/>
                <w:szCs w:val="22"/>
              </w:rPr>
            </w:pPr>
            <w:r w:rsidDel="00000000" w:rsidR="00000000" w:rsidRPr="00000000">
              <w:rPr>
                <w:b w:val="1"/>
                <w:sz w:val="22"/>
                <w:szCs w:val="22"/>
                <w:rtl w:val="0"/>
              </w:rPr>
              <w:t xml:space="preserve">Signature and stamp: </w:t>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tc>
      </w:tr>
    </w:tbl>
    <w:p w:rsidR="00000000" w:rsidDel="00000000" w:rsidP="00000000" w:rsidRDefault="00000000" w:rsidRPr="00000000" w14:paraId="00000054">
      <w:pPr>
        <w:rPr>
          <w:sz w:val="22"/>
          <w:szCs w:val="22"/>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637"/>
        <w:gridCol w:w="5951"/>
        <w:tblGridChange w:id="0">
          <w:tblGrid>
            <w:gridCol w:w="2988"/>
            <w:gridCol w:w="637"/>
            <w:gridCol w:w="5951"/>
          </w:tblGrid>
        </w:tblGridChange>
      </w:tblGrid>
      <w:tr>
        <w:trPr>
          <w:cantSplit w:val="0"/>
          <w:tblHeader w:val="0"/>
        </w:trPr>
        <w:tc>
          <w:tcPr>
            <w:gridSpan w:val="3"/>
            <w:shd w:fill="eaeaea" w:val="clear"/>
          </w:tcPr>
          <w:p w:rsidR="00000000" w:rsidDel="00000000" w:rsidP="00000000" w:rsidRDefault="00000000" w:rsidRPr="00000000" w14:paraId="00000055">
            <w:pPr>
              <w:rPr>
                <w:b w:val="1"/>
                <w:sz w:val="22"/>
                <w:szCs w:val="22"/>
              </w:rPr>
            </w:pPr>
            <w:r w:rsidDel="00000000" w:rsidR="00000000" w:rsidRPr="00000000">
              <w:rPr>
                <w:b w:val="1"/>
                <w:sz w:val="22"/>
                <w:szCs w:val="22"/>
                <w:rtl w:val="0"/>
              </w:rPr>
              <w:t xml:space="preserve">Approval / Authorization Status </w:t>
            </w:r>
            <w:r w:rsidDel="00000000" w:rsidR="00000000" w:rsidRPr="00000000">
              <w:rPr>
                <w:sz w:val="22"/>
                <w:szCs w:val="22"/>
                <w:rtl w:val="0"/>
              </w:rPr>
              <w:t xml:space="preserve">(Administrator use only)</w:t>
            </w:r>
            <w:r w:rsidDel="00000000" w:rsidR="00000000" w:rsidRPr="00000000">
              <w:rPr>
                <w:b w:val="1"/>
                <w:sz w:val="22"/>
                <w:szCs w:val="22"/>
                <w:rtl w:val="0"/>
              </w:rPr>
              <w:t xml:space="preserve">:</w:t>
            </w:r>
          </w:p>
        </w:tc>
      </w:tr>
      <w:tr>
        <w:trPr>
          <w:cantSplit w:val="0"/>
          <w:tblHeader w:val="0"/>
        </w:trPr>
        <w:tc>
          <w:tcPr>
            <w:tcBorders>
              <w:bottom w:color="000000" w:space="0" w:sz="0" w:val="nil"/>
            </w:tcBorders>
            <w:shd w:fill="eaeaea" w:val="clear"/>
          </w:tcPr>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tl w:val="0"/>
              </w:rPr>
              <w:t xml:space="preserve">Approved:     ☐ Yes    ☐ No</w:t>
            </w:r>
          </w:p>
        </w:tc>
        <w:tc>
          <w:tcPr>
            <w:tcBorders>
              <w:bottom w:color="000000" w:space="0" w:sz="0" w:val="nil"/>
              <w:right w:color="000000" w:space="0" w:sz="0" w:val="nil"/>
            </w:tcBorders>
            <w:shd w:fill="eaeaea" w:val="clear"/>
          </w:tcPr>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sz w:val="22"/>
                <w:szCs w:val="22"/>
                <w:rtl w:val="0"/>
              </w:rPr>
              <w:t xml:space="preserve">By:</w:t>
            </w:r>
          </w:p>
        </w:tc>
        <w:tc>
          <w:tcPr>
            <w:tcBorders>
              <w:left w:color="000000" w:space="0" w:sz="0" w:val="nil"/>
              <w:bottom w:color="000000" w:space="0" w:sz="4" w:val="single"/>
            </w:tcBorders>
            <w:shd w:fill="eaeaea" w:val="clear"/>
          </w:tcPr>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tl w:val="0"/>
              </w:rPr>
              <w:t xml:space="preserve">     </w:t>
            </w:r>
          </w:p>
        </w:tc>
      </w:tr>
      <w:tr>
        <w:trPr>
          <w:cantSplit w:val="0"/>
          <w:tblHeader w:val="0"/>
        </w:trPr>
        <w:tc>
          <w:tcPr>
            <w:tcBorders>
              <w:top w:color="000000" w:space="0" w:sz="0" w:val="nil"/>
            </w:tcBorders>
            <w:shd w:fill="eaeaea" w:val="clear"/>
          </w:tcPr>
          <w:p w:rsidR="00000000" w:rsidDel="00000000" w:rsidP="00000000" w:rsidRDefault="00000000" w:rsidRPr="00000000" w14:paraId="0000005E">
            <w:pPr>
              <w:rPr>
                <w:sz w:val="22"/>
                <w:szCs w:val="22"/>
              </w:rPr>
            </w:pPr>
            <w:r w:rsidDel="00000000" w:rsidR="00000000" w:rsidRPr="00000000">
              <w:rPr>
                <w:rtl w:val="0"/>
              </w:rPr>
            </w:r>
          </w:p>
        </w:tc>
        <w:tc>
          <w:tcPr>
            <w:gridSpan w:val="2"/>
            <w:tcBorders>
              <w:top w:color="000000" w:space="0" w:sz="0" w:val="nil"/>
            </w:tcBorders>
            <w:shd w:fill="eaeaea" w:val="clear"/>
          </w:tcPr>
          <w:p w:rsidR="00000000" w:rsidDel="00000000" w:rsidP="00000000" w:rsidRDefault="00000000" w:rsidRPr="00000000" w14:paraId="0000005F">
            <w:pPr>
              <w:tabs>
                <w:tab w:val="left" w:leader="none" w:pos="612"/>
              </w:tabs>
              <w:rPr>
                <w:sz w:val="22"/>
                <w:szCs w:val="22"/>
              </w:rPr>
            </w:pPr>
            <w:r w:rsidDel="00000000" w:rsidR="00000000" w:rsidRPr="00000000">
              <w:rPr>
                <w:sz w:val="22"/>
                <w:szCs w:val="22"/>
                <w:rtl w:val="0"/>
              </w:rPr>
              <w:tab/>
              <w:t xml:space="preserve">(print name)</w:t>
            </w:r>
          </w:p>
          <w:p w:rsidR="00000000" w:rsidDel="00000000" w:rsidP="00000000" w:rsidRDefault="00000000" w:rsidRPr="00000000" w14:paraId="00000060">
            <w:pPr>
              <w:tabs>
                <w:tab w:val="left" w:leader="none" w:pos="612"/>
              </w:tabs>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tl w:val="0"/>
              </w:rPr>
              <w:t xml:space="preserve">Signature/stamp:</w:t>
            </w:r>
          </w:p>
        </w:tc>
      </w:tr>
      <w:tr>
        <w:trPr>
          <w:cantSplit w:val="0"/>
          <w:trHeight w:val="3600" w:hRule="atLeast"/>
          <w:tblHeader w:val="0"/>
        </w:trPr>
        <w:tc>
          <w:tcPr>
            <w:gridSpan w:val="3"/>
            <w:shd w:fill="eaeaea" w:val="clear"/>
          </w:tcPr>
          <w:p w:rsidR="00000000" w:rsidDel="00000000" w:rsidP="00000000" w:rsidRDefault="00000000" w:rsidRPr="00000000" w14:paraId="00000063">
            <w:pPr>
              <w:spacing w:before="120" w:lineRule="auto"/>
              <w:rPr>
                <w:sz w:val="22"/>
                <w:szCs w:val="22"/>
              </w:rPr>
            </w:pPr>
            <w:r w:rsidDel="00000000" w:rsidR="00000000" w:rsidRPr="00000000">
              <w:rPr>
                <w:sz w:val="22"/>
                <w:szCs w:val="22"/>
                <w:rtl w:val="0"/>
              </w:rPr>
              <w:t xml:space="preserve">Conditions of approval:</w:t>
            </w:r>
          </w:p>
          <w:p w:rsidR="00000000" w:rsidDel="00000000" w:rsidP="00000000" w:rsidRDefault="00000000" w:rsidRPr="00000000" w14:paraId="00000064">
            <w:pP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67">
      <w:pPr>
        <w:rPr>
          <w:sz w:val="2"/>
          <w:szCs w:val="2"/>
        </w:rPr>
      </w:pPr>
      <w:r w:rsidDel="00000000" w:rsidR="00000000" w:rsidRPr="00000000">
        <w:rPr>
          <w:rtl w:val="0"/>
        </w:rPr>
      </w:r>
    </w:p>
    <w:sectPr>
      <w:footerReference r:id="rId8"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7/14</w:t>
      <w:tab/>
      <w:tab/>
      <w:t xml:space="preserve">YTEC-02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56FB"/>
    <w:pPr>
      <w:jc w:val="both"/>
    </w:pPr>
    <w:rPr>
      <w:rFonts w:ascii="Times New Roman" w:hAnsi="Times New Roman"/>
      <w:sz w:val="24"/>
      <w:szCs w:val="22"/>
      <w:lang w:eastAsia="en-US" w:val="en-US"/>
    </w:rPr>
  </w:style>
  <w:style w:type="paragraph" w:styleId="Heading6">
    <w:name w:val="heading 6"/>
    <w:basedOn w:val="Normal"/>
    <w:next w:val="Normal"/>
    <w:link w:val="Heading6Char"/>
    <w:uiPriority w:val="9"/>
    <w:qFormat w:val="1"/>
    <w:rsid w:val="00DC0162"/>
    <w:pPr>
      <w:keepNext w:val="1"/>
      <w:jc w:val="center"/>
      <w:outlineLvl w:val="5"/>
    </w:pPr>
    <w:rPr>
      <w:rFonts w:ascii="Arial" w:eastAsia="Times New Roman" w:hAnsi="Arial"/>
      <w:b w:val="1"/>
      <w:bCs w:val="1"/>
      <w:sz w:val="20"/>
      <w:szCs w:val="20"/>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6Char" w:customStyle="1">
    <w:name w:val="Heading 6 Char"/>
    <w:link w:val="Heading6"/>
    <w:uiPriority w:val="9"/>
    <w:rsid w:val="00DC0162"/>
    <w:rPr>
      <w:rFonts w:ascii="Arial" w:cs="Times New Roman" w:eastAsia="Times New Roman" w:hAnsi="Arial"/>
      <w:b w:val="1"/>
      <w:bCs w:val="1"/>
      <w:sz w:val="20"/>
      <w:szCs w:val="20"/>
    </w:rPr>
  </w:style>
  <w:style w:type="paragraph" w:styleId="BodyText">
    <w:name w:val="Body Text"/>
    <w:basedOn w:val="Normal"/>
    <w:link w:val="BodyTextChar"/>
    <w:uiPriority w:val="99"/>
    <w:rsid w:val="00DC0162"/>
    <w:rPr>
      <w:rFonts w:ascii="Arial" w:eastAsia="Times New Roman" w:hAnsi="Arial"/>
      <w:sz w:val="20"/>
      <w:szCs w:val="24"/>
      <w:lang w:eastAsia="x-none" w:val="x-none"/>
    </w:rPr>
  </w:style>
  <w:style w:type="character" w:styleId="BodyTextChar" w:customStyle="1">
    <w:name w:val="Body Text Char"/>
    <w:link w:val="BodyText"/>
    <w:uiPriority w:val="99"/>
    <w:rsid w:val="00DC0162"/>
    <w:rPr>
      <w:rFonts w:ascii="Arial" w:cs="Times New Roman" w:eastAsia="Times New Roman" w:hAnsi="Arial"/>
      <w:sz w:val="20"/>
      <w:szCs w:val="24"/>
    </w:rPr>
  </w:style>
  <w:style w:type="character" w:styleId="Hyperlink">
    <w:name w:val="Hyperlink"/>
    <w:uiPriority w:val="99"/>
    <w:unhideWhenUsed w:val="1"/>
    <w:rsid w:val="00DC0162"/>
    <w:rPr>
      <w:color w:val="0000ff"/>
      <w:u w:val="single"/>
    </w:rPr>
  </w:style>
  <w:style w:type="paragraph" w:styleId="BalloonText">
    <w:name w:val="Balloon Text"/>
    <w:basedOn w:val="Normal"/>
    <w:link w:val="BalloonTextChar"/>
    <w:uiPriority w:val="99"/>
    <w:semiHidden w:val="1"/>
    <w:unhideWhenUsed w:val="1"/>
    <w:rsid w:val="00DC0162"/>
    <w:rPr>
      <w:rFonts w:ascii="Tahoma" w:hAnsi="Tahoma"/>
      <w:sz w:val="16"/>
      <w:szCs w:val="16"/>
      <w:lang w:eastAsia="x-none" w:val="x-none"/>
    </w:rPr>
  </w:style>
  <w:style w:type="character" w:styleId="BalloonTextChar" w:customStyle="1">
    <w:name w:val="Balloon Text Char"/>
    <w:link w:val="BalloonText"/>
    <w:uiPriority w:val="99"/>
    <w:semiHidden w:val="1"/>
    <w:rsid w:val="00DC0162"/>
    <w:rPr>
      <w:rFonts w:ascii="Tahoma" w:cs="Tahoma" w:hAnsi="Tahoma"/>
      <w:sz w:val="16"/>
      <w:szCs w:val="16"/>
    </w:rPr>
  </w:style>
  <w:style w:type="table" w:styleId="TableGrid">
    <w:name w:val="Table Grid"/>
    <w:basedOn w:val="TableNormal"/>
    <w:uiPriority w:val="59"/>
    <w:rsid w:val="00611DD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semiHidden w:val="1"/>
    <w:unhideWhenUsed w:val="1"/>
    <w:rsid w:val="006861FB"/>
    <w:pPr>
      <w:tabs>
        <w:tab w:val="center" w:pos="4680"/>
        <w:tab w:val="right" w:pos="9360"/>
      </w:tabs>
    </w:pPr>
    <w:rPr>
      <w:lang w:eastAsia="x-none" w:val="x-none"/>
    </w:rPr>
  </w:style>
  <w:style w:type="character" w:styleId="HeaderChar" w:customStyle="1">
    <w:name w:val="Header Char"/>
    <w:link w:val="Header"/>
    <w:uiPriority w:val="99"/>
    <w:semiHidden w:val="1"/>
    <w:rsid w:val="006861FB"/>
    <w:rPr>
      <w:rFonts w:ascii="Times New Roman" w:hAnsi="Times New Roman"/>
      <w:sz w:val="24"/>
      <w:szCs w:val="22"/>
    </w:rPr>
  </w:style>
  <w:style w:type="paragraph" w:styleId="Footer">
    <w:name w:val="footer"/>
    <w:basedOn w:val="Normal"/>
    <w:link w:val="FooterChar"/>
    <w:uiPriority w:val="99"/>
    <w:semiHidden w:val="1"/>
    <w:unhideWhenUsed w:val="1"/>
    <w:rsid w:val="006861FB"/>
    <w:pPr>
      <w:tabs>
        <w:tab w:val="center" w:pos="4680"/>
        <w:tab w:val="right" w:pos="9360"/>
      </w:tabs>
    </w:pPr>
    <w:rPr>
      <w:lang w:eastAsia="x-none" w:val="x-none"/>
    </w:rPr>
  </w:style>
  <w:style w:type="character" w:styleId="FooterChar" w:customStyle="1">
    <w:name w:val="Footer Char"/>
    <w:link w:val="Footer"/>
    <w:uiPriority w:val="99"/>
    <w:semiHidden w:val="1"/>
    <w:rsid w:val="006861FB"/>
    <w:rPr>
      <w:rFonts w:ascii="Times New Roman" w:hAnsi="Times New Roman"/>
      <w:sz w:val="24"/>
      <w:szCs w:val="22"/>
    </w:rPr>
  </w:style>
  <w:style w:type="character" w:styleId="CommentReference">
    <w:name w:val="annotation reference"/>
    <w:uiPriority w:val="99"/>
    <w:semiHidden w:val="1"/>
    <w:unhideWhenUsed w:val="1"/>
    <w:rsid w:val="004368CF"/>
    <w:rPr>
      <w:sz w:val="16"/>
      <w:szCs w:val="16"/>
    </w:rPr>
  </w:style>
  <w:style w:type="paragraph" w:styleId="CommentText">
    <w:name w:val="annotation text"/>
    <w:basedOn w:val="Normal"/>
    <w:link w:val="CommentTextChar"/>
    <w:uiPriority w:val="99"/>
    <w:semiHidden w:val="1"/>
    <w:unhideWhenUsed w:val="1"/>
    <w:rsid w:val="004368CF"/>
    <w:rPr>
      <w:sz w:val="20"/>
      <w:szCs w:val="20"/>
      <w:lang w:eastAsia="x-none" w:val="x-none"/>
    </w:rPr>
  </w:style>
  <w:style w:type="character" w:styleId="CommentTextChar" w:customStyle="1">
    <w:name w:val="Comment Text Char"/>
    <w:link w:val="CommentText"/>
    <w:uiPriority w:val="99"/>
    <w:semiHidden w:val="1"/>
    <w:rsid w:val="004368CF"/>
    <w:rPr>
      <w:rFonts w:ascii="Times New Roman" w:hAnsi="Times New Roman"/>
    </w:rPr>
  </w:style>
  <w:style w:type="paragraph" w:styleId="CommentSubject">
    <w:name w:val="annotation subject"/>
    <w:basedOn w:val="CommentText"/>
    <w:next w:val="CommentText"/>
    <w:link w:val="CommentSubjectChar"/>
    <w:uiPriority w:val="99"/>
    <w:semiHidden w:val="1"/>
    <w:unhideWhenUsed w:val="1"/>
    <w:rsid w:val="004368CF"/>
    <w:rPr>
      <w:b w:val="1"/>
      <w:bCs w:val="1"/>
    </w:rPr>
  </w:style>
  <w:style w:type="character" w:styleId="CommentSubjectChar" w:customStyle="1">
    <w:name w:val="Comment Subject Char"/>
    <w:link w:val="CommentSubject"/>
    <w:uiPriority w:val="99"/>
    <w:semiHidden w:val="1"/>
    <w:rsid w:val="004368CF"/>
    <w:rPr>
      <w:rFonts w:ascii="Times New Roman" w:hAnsi="Times New Roman"/>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08eeh9BvC/W/kCUXAM1fi+O+6g==">CgMxLjA4AHIhMUVSYW5IWVh6Z2hkUGwxYjZDWkt1d3hRMXI0c2VfV3gx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2024-06-25T16:28:00Z</dcterms:created>
  <dc:creator>mverburg</dc:creator>
</cp:coreProperties>
</file>