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88413" w14:textId="210D2507" w:rsidR="00BE4C20" w:rsidRPr="00BE4C20" w:rsidRDefault="00BE4C20" w:rsidP="00BE4C20">
      <w:pPr>
        <w:pStyle w:val="Title"/>
      </w:pPr>
      <w:r>
        <w:t xml:space="preserve">Machine Learning for Trading – Project </w:t>
      </w:r>
      <w:r w:rsidR="00896D94">
        <w:t>6</w:t>
      </w:r>
    </w:p>
    <w:p w14:paraId="7B1F9F9F" w14:textId="77777777" w:rsidR="00D5034D" w:rsidRDefault="00BE4C20" w:rsidP="00D5034D">
      <w:pPr>
        <w:pStyle w:val="Subtitle"/>
      </w:pPr>
      <w:r>
        <w:t>Tri Nguyen</w:t>
      </w:r>
      <w:r w:rsidR="00D5034D">
        <w:br/>
      </w:r>
      <w:hyperlink r:id="rId8" w:history="1">
        <w:r w:rsidRPr="007B23D4">
          <w:rPr>
            <w:rStyle w:val="Hyperlink"/>
          </w:rPr>
          <w:t>tnguyen497@gatech.edu</w:t>
        </w:r>
      </w:hyperlink>
    </w:p>
    <w:p w14:paraId="72C30A13" w14:textId="7D404EFC" w:rsidR="00896D94" w:rsidRDefault="00896D94" w:rsidP="00896D94">
      <w:pPr>
        <w:pStyle w:val="Heading1"/>
      </w:pPr>
      <w:r>
        <w:t>Technical Indicators</w:t>
      </w:r>
    </w:p>
    <w:p w14:paraId="2723181A" w14:textId="246A6F30" w:rsidR="00896D94" w:rsidRPr="00896D94" w:rsidRDefault="00896D94" w:rsidP="00896D94">
      <w:r>
        <w:t>Th</w:t>
      </w:r>
      <w:r w:rsidR="00E35BB5">
        <w:t>e following indicators are used to predict the movement of stocks in a manual trading strategy: momentum, price/simple moving average ratio, and Bollinger Bands Percentage. Each indicator is illustrated by JPM stock between 1</w:t>
      </w:r>
      <w:r w:rsidR="00E35BB5" w:rsidRPr="00E35BB5">
        <w:rPr>
          <w:vertAlign w:val="superscript"/>
        </w:rPr>
        <w:t>st</w:t>
      </w:r>
      <w:r w:rsidR="00E35BB5">
        <w:t xml:space="preserve"> January 2008 and 31 December 2009.</w:t>
      </w:r>
    </w:p>
    <w:p w14:paraId="4416EF34" w14:textId="0CD2B1F8" w:rsidR="00896D94" w:rsidRDefault="00896D94" w:rsidP="00896D94">
      <w:pPr>
        <w:pStyle w:val="Heading2"/>
      </w:pPr>
      <w:r>
        <w:t>Mome</w:t>
      </w:r>
      <w:r w:rsidR="00480150">
        <w:t>n</w:t>
      </w:r>
      <w:r>
        <w:t>tum</w:t>
      </w:r>
    </w:p>
    <w:p w14:paraId="3A08B381" w14:textId="5DA9FEED" w:rsidR="00896D94" w:rsidRDefault="00896D94" w:rsidP="00896D94">
      <w:r>
        <w:t>Momentum of a stock over n days is the return of a certain day compared to n days before, specifically:</w:t>
      </w:r>
    </w:p>
    <w:p w14:paraId="5DA5A788" w14:textId="034CB314" w:rsidR="00896D94" w:rsidRDefault="00896D94" w:rsidP="00896D94">
      <w:r>
        <w:t>Momentum (n day) = (today price/price n days ago) – 1</w:t>
      </w:r>
    </w:p>
    <w:p w14:paraId="307EBFF6" w14:textId="0F65A2EE" w:rsidR="00896D94" w:rsidRDefault="00896D94" w:rsidP="00896D94">
      <w:r>
        <w:t xml:space="preserve">Figure 1 shows the </w:t>
      </w:r>
      <w:r w:rsidR="00E35BB5">
        <w:t xml:space="preserve">10-day </w:t>
      </w:r>
      <w:r>
        <w:t>momentum of JPM</w:t>
      </w:r>
      <w:r w:rsidR="00E35BB5">
        <w:t xml:space="preserve"> and normalized price.</w:t>
      </w:r>
    </w:p>
    <w:p w14:paraId="58899696" w14:textId="7C084176" w:rsidR="00E35BB5" w:rsidRDefault="00C01047" w:rsidP="00E35BB5">
      <w:pPr>
        <w:jc w:val="center"/>
      </w:pPr>
      <w:r>
        <w:rPr>
          <w:noProof/>
        </w:rPr>
        <w:drawing>
          <wp:inline distT="0" distB="0" distL="0" distR="0" wp14:anchorId="63C435E4" wp14:editId="68804B85">
            <wp:extent cx="4079631" cy="305972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cator - Momemtum.png"/>
                    <pic:cNvPicPr/>
                  </pic:nvPicPr>
                  <pic:blipFill>
                    <a:blip r:embed="rId9">
                      <a:extLst>
                        <a:ext uri="{28A0092B-C50C-407E-A947-70E740481C1C}">
                          <a14:useLocalDpi xmlns:a14="http://schemas.microsoft.com/office/drawing/2010/main" val="0"/>
                        </a:ext>
                      </a:extLst>
                    </a:blip>
                    <a:stretch>
                      <a:fillRect/>
                    </a:stretch>
                  </pic:blipFill>
                  <pic:spPr>
                    <a:xfrm>
                      <a:off x="0" y="0"/>
                      <a:ext cx="4096853" cy="3072640"/>
                    </a:xfrm>
                    <a:prstGeom prst="rect">
                      <a:avLst/>
                    </a:prstGeom>
                  </pic:spPr>
                </pic:pic>
              </a:graphicData>
            </a:graphic>
          </wp:inline>
        </w:drawing>
      </w:r>
    </w:p>
    <w:p w14:paraId="6CDC7139" w14:textId="695C8BE2" w:rsidR="00E35BB5" w:rsidRDefault="00E35BB5" w:rsidP="00E35BB5">
      <w:pPr>
        <w:jc w:val="center"/>
      </w:pPr>
      <w:r>
        <w:t>Figure 1: Momentum vs normalized price of JPM</w:t>
      </w:r>
    </w:p>
    <w:p w14:paraId="1E6F53B7" w14:textId="6C3EAF5C" w:rsidR="00E35BB5" w:rsidRDefault="00E35BB5" w:rsidP="00E35BB5">
      <w:pPr>
        <w:jc w:val="left"/>
      </w:pPr>
      <w:r>
        <w:lastRenderedPageBreak/>
        <w:t xml:space="preserve">Momentum helps filter out price fluctuation over the n-day period and show the </w:t>
      </w:r>
      <w:r w:rsidR="001F39B3">
        <w:t>overall</w:t>
      </w:r>
      <w:r>
        <w:t xml:space="preserve"> movement over those days. In this example, a positive momentum shows that price has increased compared to 10 day ago, and vice versa.</w:t>
      </w:r>
    </w:p>
    <w:p w14:paraId="72706134" w14:textId="09B9668E" w:rsidR="00E35BB5" w:rsidRDefault="00E35BB5" w:rsidP="00E35BB5">
      <w:pPr>
        <w:jc w:val="left"/>
      </w:pPr>
      <w:r>
        <w:t xml:space="preserve">This indicator can be used to show the trend in price movement over a defined period. If a short period is used, it can help predict whether the price will continue to increase or decrease. </w:t>
      </w:r>
    </w:p>
    <w:p w14:paraId="28A004B8" w14:textId="1DCB1A31" w:rsidR="001B38C1" w:rsidRDefault="001B38C1" w:rsidP="001B38C1">
      <w:pPr>
        <w:pStyle w:val="Heading2"/>
      </w:pPr>
      <w:r>
        <w:t>Price/simple moving average ratio</w:t>
      </w:r>
    </w:p>
    <w:p w14:paraId="13B87F9B" w14:textId="5559EE29" w:rsidR="001B38C1" w:rsidRDefault="001B38C1" w:rsidP="001B38C1">
      <w:r>
        <w:t>Simple moving average (SMA)</w:t>
      </w:r>
      <w:r w:rsidR="00205578">
        <w:t xml:space="preserve"> of a stock at any given time is the mean value of the stock’s price over a previous defined period. For example, a 5</w:t>
      </w:r>
      <w:r w:rsidR="00C81ED3">
        <w:t>-</w:t>
      </w:r>
      <w:r w:rsidR="00205578">
        <w:t>day SMA is calculated by:</w:t>
      </w:r>
    </w:p>
    <w:p w14:paraId="5B1E9788" w14:textId="0FC056AC" w:rsidR="00205578" w:rsidRDefault="00205578" w:rsidP="001B38C1">
      <w:r>
        <w:t>SMA = (sum of prices over last 5 days) / 5</w:t>
      </w:r>
    </w:p>
    <w:p w14:paraId="60C9C466" w14:textId="4CC81D76" w:rsidR="00205578" w:rsidRDefault="00205578" w:rsidP="001B38C1">
      <w:r>
        <w:t>However, SMA</w:t>
      </w:r>
      <w:r w:rsidR="00C81ED3">
        <w:t xml:space="preserve">’s value range can be very different among different stocks, and therefore is not a meaningful indicator for trading rule. A better indicator would be Price/SMA ratio. </w:t>
      </w:r>
    </w:p>
    <w:p w14:paraId="341F2111" w14:textId="74B15270" w:rsidR="00C81ED3" w:rsidRDefault="00C81ED3" w:rsidP="001B38C1">
      <w:r>
        <w:t>Price/SMA shows the prices of the stock relative to its mean value. Figure 2 shows the price, SMA, and Price/SMA ratio.</w:t>
      </w:r>
    </w:p>
    <w:p w14:paraId="51B47BD0" w14:textId="1798EFBB" w:rsidR="00C81ED3" w:rsidRDefault="00C01047" w:rsidP="00357723">
      <w:pPr>
        <w:jc w:val="center"/>
      </w:pPr>
      <w:r>
        <w:rPr>
          <w:noProof/>
        </w:rPr>
        <w:drawing>
          <wp:inline distT="0" distB="0" distL="0" distR="0" wp14:anchorId="6131927A" wp14:editId="541F8268">
            <wp:extent cx="3828422" cy="2871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 - SMA.png"/>
                    <pic:cNvPicPr/>
                  </pic:nvPicPr>
                  <pic:blipFill>
                    <a:blip r:embed="rId10">
                      <a:extLst>
                        <a:ext uri="{28A0092B-C50C-407E-A947-70E740481C1C}">
                          <a14:useLocalDpi xmlns:a14="http://schemas.microsoft.com/office/drawing/2010/main" val="0"/>
                        </a:ext>
                      </a:extLst>
                    </a:blip>
                    <a:stretch>
                      <a:fillRect/>
                    </a:stretch>
                  </pic:blipFill>
                  <pic:spPr>
                    <a:xfrm>
                      <a:off x="0" y="0"/>
                      <a:ext cx="3852607" cy="2889456"/>
                    </a:xfrm>
                    <a:prstGeom prst="rect">
                      <a:avLst/>
                    </a:prstGeom>
                  </pic:spPr>
                </pic:pic>
              </a:graphicData>
            </a:graphic>
          </wp:inline>
        </w:drawing>
      </w:r>
    </w:p>
    <w:p w14:paraId="11109062" w14:textId="14AE06E9" w:rsidR="00357723" w:rsidRDefault="00357723" w:rsidP="00357723">
      <w:pPr>
        <w:jc w:val="center"/>
      </w:pPr>
      <w:r>
        <w:t>Figure 2: Price/SMA ratio indicator</w:t>
      </w:r>
    </w:p>
    <w:p w14:paraId="734BE299" w14:textId="4288C6A2" w:rsidR="00357723" w:rsidRDefault="00357723" w:rsidP="00357723">
      <w:pPr>
        <w:jc w:val="left"/>
      </w:pPr>
      <w:r>
        <w:lastRenderedPageBreak/>
        <w:t xml:space="preserve">A ratio greater than </w:t>
      </w:r>
      <w:r w:rsidR="004D0F96">
        <w:t>1</w:t>
      </w:r>
      <w:r>
        <w:t xml:space="preserve"> indicates that the current price is higher than the average </w:t>
      </w:r>
      <w:r w:rsidR="004D0F96">
        <w:t>price, and might be expected drop back to the average. A ratio less than 1 indicates that the current price is lower than the average price, and might increase back to the average.</w:t>
      </w:r>
    </w:p>
    <w:p w14:paraId="14390FF8" w14:textId="39457658" w:rsidR="004D0F96" w:rsidRDefault="004D0F96" w:rsidP="004D0F96">
      <w:pPr>
        <w:pStyle w:val="Heading2"/>
      </w:pPr>
      <w:r>
        <w:t>Bollinger Band Percentage</w:t>
      </w:r>
    </w:p>
    <w:p w14:paraId="0A64C9A3" w14:textId="38D9CDA9" w:rsidR="004D0F96" w:rsidRDefault="004D0F96" w:rsidP="004D0F96">
      <w:r>
        <w:t xml:space="preserve">Bollinger Band can be calculated </w:t>
      </w:r>
      <w:r w:rsidR="003D1537">
        <w:t>first calculating the SMA as described above, then adding two standard deviations above and below the SMA. For example, given a 5-day SMA, at any particular point in time:</w:t>
      </w:r>
    </w:p>
    <w:p w14:paraId="5D07DB9C" w14:textId="2099D4DA" w:rsidR="003D1537" w:rsidRDefault="003D1537" w:rsidP="004D0F96">
      <w:proofErr w:type="spellStart"/>
      <w:r>
        <w:t>std</w:t>
      </w:r>
      <w:proofErr w:type="spellEnd"/>
      <w:r>
        <w:t xml:space="preserve"> = standard deviation over last 5 days.</w:t>
      </w:r>
    </w:p>
    <w:p w14:paraId="38E9C902" w14:textId="1F07513C" w:rsidR="003D1537" w:rsidRDefault="003D1537" w:rsidP="004D0F96">
      <w:r>
        <w:t xml:space="preserve">Upper Bollinger </w:t>
      </w:r>
      <w:r w:rsidR="004B2B6A">
        <w:t>band</w:t>
      </w:r>
      <w:r>
        <w:t xml:space="preserve"> = SMA + 2 x </w:t>
      </w:r>
      <w:proofErr w:type="spellStart"/>
      <w:r>
        <w:t>std</w:t>
      </w:r>
      <w:proofErr w:type="spellEnd"/>
    </w:p>
    <w:p w14:paraId="0DAD547B" w14:textId="7B9BB1F7" w:rsidR="003D1537" w:rsidRDefault="003D1537" w:rsidP="004D0F96">
      <w:r>
        <w:t xml:space="preserve">Lower Bollinger </w:t>
      </w:r>
      <w:r w:rsidR="004B2B6A">
        <w:t>band</w:t>
      </w:r>
      <w:r>
        <w:t xml:space="preserve"> = SMA – 2 x </w:t>
      </w:r>
      <w:proofErr w:type="spellStart"/>
      <w:r>
        <w:t>std</w:t>
      </w:r>
      <w:proofErr w:type="spellEnd"/>
    </w:p>
    <w:p w14:paraId="2C708564" w14:textId="3211016A" w:rsidR="003D1537" w:rsidRDefault="003D1537" w:rsidP="004D0F96">
      <w:r>
        <w:t>The value range of the bands, like SMA, can vary greatly among different stocks. A more meaningful measure is the relative ratio between the price and the band. In particular.</w:t>
      </w:r>
    </w:p>
    <w:p w14:paraId="51700890" w14:textId="414B6AB7" w:rsidR="003D1537" w:rsidRDefault="003D1537" w:rsidP="003D1537">
      <w:pPr>
        <w:jc w:val="left"/>
      </w:pPr>
      <w:r>
        <w:t>Bollinger Band Percentage</w:t>
      </w:r>
      <w:proofErr w:type="gramStart"/>
      <w:r>
        <w:t>=(</w:t>
      </w:r>
      <w:proofErr w:type="gramEnd"/>
      <w:r>
        <w:t xml:space="preserve">price–lower </w:t>
      </w:r>
      <w:r w:rsidR="004B2B6A">
        <w:t>band</w:t>
      </w:r>
      <w:r>
        <w:t xml:space="preserve">)/(upper </w:t>
      </w:r>
      <w:r w:rsidR="004B2B6A">
        <w:t>band</w:t>
      </w:r>
      <w:r>
        <w:t xml:space="preserve">–lower </w:t>
      </w:r>
      <w:r w:rsidR="004B2B6A">
        <w:t>band</w:t>
      </w:r>
      <w:r>
        <w:t>)</w:t>
      </w:r>
    </w:p>
    <w:p w14:paraId="2C0A28A0" w14:textId="7783E535" w:rsidR="004B2B6A" w:rsidRDefault="004B2B6A" w:rsidP="003D1537">
      <w:pPr>
        <w:jc w:val="left"/>
      </w:pPr>
      <w:r>
        <w:t>Figure 3 shows the Bollinger Band and Bollinger Band Percentage for JPM.</w:t>
      </w:r>
    </w:p>
    <w:p w14:paraId="3A931C13" w14:textId="76F2D261" w:rsidR="004B2B6A" w:rsidRDefault="0006495A" w:rsidP="004B2B6A">
      <w:pPr>
        <w:jc w:val="center"/>
      </w:pPr>
      <w:r>
        <w:rPr>
          <w:noProof/>
        </w:rPr>
        <w:drawing>
          <wp:inline distT="0" distB="0" distL="0" distR="0" wp14:anchorId="5C7DC461" wp14:editId="467999EA">
            <wp:extent cx="3697605" cy="2773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icator - Bollinger Bands.png"/>
                    <pic:cNvPicPr/>
                  </pic:nvPicPr>
                  <pic:blipFill>
                    <a:blip r:embed="rId11">
                      <a:extLst>
                        <a:ext uri="{28A0092B-C50C-407E-A947-70E740481C1C}">
                          <a14:useLocalDpi xmlns:a14="http://schemas.microsoft.com/office/drawing/2010/main" val="0"/>
                        </a:ext>
                      </a:extLst>
                    </a:blip>
                    <a:stretch>
                      <a:fillRect/>
                    </a:stretch>
                  </pic:blipFill>
                  <pic:spPr>
                    <a:xfrm>
                      <a:off x="0" y="0"/>
                      <a:ext cx="3726492" cy="2794869"/>
                    </a:xfrm>
                    <a:prstGeom prst="rect">
                      <a:avLst/>
                    </a:prstGeom>
                  </pic:spPr>
                </pic:pic>
              </a:graphicData>
            </a:graphic>
          </wp:inline>
        </w:drawing>
      </w:r>
    </w:p>
    <w:p w14:paraId="5340B649" w14:textId="78851E7F" w:rsidR="004B2B6A" w:rsidRPr="004D0F96" w:rsidRDefault="004B2B6A" w:rsidP="004B2B6A">
      <w:pPr>
        <w:jc w:val="center"/>
      </w:pPr>
      <w:r>
        <w:t>Figure 3: Bollinger Band Percentage indicator</w:t>
      </w:r>
    </w:p>
    <w:p w14:paraId="2CF552E0" w14:textId="79C4CEBD" w:rsidR="00896D94" w:rsidRDefault="004B2B6A" w:rsidP="00896D94">
      <w:r>
        <w:lastRenderedPageBreak/>
        <w:t>A high percentage (&gt;1) means the price exceeds the upper band, and low percentage (&lt;0) means the price is less than the lower band. This can be used to show how much the price has deviated from the average.</w:t>
      </w:r>
    </w:p>
    <w:p w14:paraId="0E3C29C4" w14:textId="0B3DA138" w:rsidR="004B2B6A" w:rsidRDefault="002C473E" w:rsidP="002C473E">
      <w:pPr>
        <w:pStyle w:val="Heading1"/>
      </w:pPr>
      <w:r>
        <w:t>Theoretically Optimal Strategy</w:t>
      </w:r>
    </w:p>
    <w:p w14:paraId="565E9651" w14:textId="53BAEFEA" w:rsidR="002C473E" w:rsidRDefault="002C473E" w:rsidP="002C473E">
      <w:r>
        <w:t>Figure 4 shows the th</w:t>
      </w:r>
      <w:r w:rsidR="006D72F6">
        <w:t>eoretically optimal strategy return.</w:t>
      </w:r>
    </w:p>
    <w:p w14:paraId="4592D800" w14:textId="597EE2C3" w:rsidR="00340065" w:rsidRDefault="008B79CB" w:rsidP="002C473E">
      <w:r>
        <w:t>The strategy is simply to look ahead one trading day, if the price goes up, it is a buying signal. If it goes down, it is a selling signal. The strategy will sell or buy based on these signals, and on the current position, i.e., if the current position is already longing 1000 shares, the strategy will not buy more stocks.</w:t>
      </w:r>
    </w:p>
    <w:p w14:paraId="04755558" w14:textId="25A7DD63" w:rsidR="006D72F6" w:rsidRDefault="0006495A" w:rsidP="002C473E">
      <w:r>
        <w:rPr>
          <w:noProof/>
        </w:rPr>
        <w:drawing>
          <wp:inline distT="0" distB="0" distL="0" distR="0" wp14:anchorId="33E4EB65" wp14:editId="12755FF2">
            <wp:extent cx="5225140" cy="39188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oreticallyOptimal.png"/>
                    <pic:cNvPicPr/>
                  </pic:nvPicPr>
                  <pic:blipFill>
                    <a:blip r:embed="rId12">
                      <a:extLst>
                        <a:ext uri="{28A0092B-C50C-407E-A947-70E740481C1C}">
                          <a14:useLocalDpi xmlns:a14="http://schemas.microsoft.com/office/drawing/2010/main" val="0"/>
                        </a:ext>
                      </a:extLst>
                    </a:blip>
                    <a:stretch>
                      <a:fillRect/>
                    </a:stretch>
                  </pic:blipFill>
                  <pic:spPr>
                    <a:xfrm>
                      <a:off x="0" y="0"/>
                      <a:ext cx="5259184" cy="3944390"/>
                    </a:xfrm>
                    <a:prstGeom prst="rect">
                      <a:avLst/>
                    </a:prstGeom>
                  </pic:spPr>
                </pic:pic>
              </a:graphicData>
            </a:graphic>
          </wp:inline>
        </w:drawing>
      </w:r>
    </w:p>
    <w:p w14:paraId="55EC6787" w14:textId="3BEE7080" w:rsidR="006D72F6" w:rsidRDefault="006D72F6" w:rsidP="006D72F6">
      <w:pPr>
        <w:jc w:val="center"/>
      </w:pPr>
      <w:r>
        <w:t>Figure 4: Theoretically Optimal Strategy return</w:t>
      </w:r>
    </w:p>
    <w:p w14:paraId="455EB112" w14:textId="77777777" w:rsidR="008B79CB" w:rsidRDefault="008B79CB" w:rsidP="006D72F6">
      <w:pPr>
        <w:jc w:val="center"/>
      </w:pPr>
    </w:p>
    <w:tbl>
      <w:tblPr>
        <w:tblStyle w:val="TableGrid"/>
        <w:tblW w:w="0" w:type="auto"/>
        <w:tblLook w:val="04A0" w:firstRow="1" w:lastRow="0" w:firstColumn="1" w:lastColumn="0" w:noHBand="0" w:noVBand="1"/>
      </w:tblPr>
      <w:tblGrid>
        <w:gridCol w:w="2263"/>
        <w:gridCol w:w="2410"/>
        <w:gridCol w:w="3237"/>
      </w:tblGrid>
      <w:tr w:rsidR="006D72F6" w14:paraId="69F08D7C" w14:textId="77777777" w:rsidTr="006D72F6">
        <w:tc>
          <w:tcPr>
            <w:tcW w:w="2263" w:type="dxa"/>
          </w:tcPr>
          <w:p w14:paraId="728E07C8" w14:textId="77777777" w:rsidR="006D72F6" w:rsidRDefault="006D72F6" w:rsidP="006D72F6">
            <w:pPr>
              <w:jc w:val="center"/>
            </w:pPr>
          </w:p>
        </w:tc>
        <w:tc>
          <w:tcPr>
            <w:tcW w:w="2410" w:type="dxa"/>
          </w:tcPr>
          <w:p w14:paraId="4DCD6BF5" w14:textId="5FC04615" w:rsidR="006D72F6" w:rsidRDefault="006D72F6" w:rsidP="006D72F6">
            <w:pPr>
              <w:jc w:val="center"/>
            </w:pPr>
            <w:r>
              <w:t>Benchmark</w:t>
            </w:r>
          </w:p>
        </w:tc>
        <w:tc>
          <w:tcPr>
            <w:tcW w:w="3237" w:type="dxa"/>
          </w:tcPr>
          <w:p w14:paraId="5CB369D9" w14:textId="36799C74" w:rsidR="006D72F6" w:rsidRDefault="006D72F6" w:rsidP="006D72F6">
            <w:pPr>
              <w:jc w:val="center"/>
            </w:pPr>
            <w:r>
              <w:t>Theoretically Optimal Strategy</w:t>
            </w:r>
          </w:p>
        </w:tc>
      </w:tr>
      <w:tr w:rsidR="006D72F6" w14:paraId="32783776" w14:textId="77777777" w:rsidTr="006D72F6">
        <w:tc>
          <w:tcPr>
            <w:tcW w:w="2263" w:type="dxa"/>
          </w:tcPr>
          <w:p w14:paraId="4C70BE37" w14:textId="334E38BB" w:rsidR="006D72F6" w:rsidRDefault="006D72F6" w:rsidP="006D72F6">
            <w:pPr>
              <w:jc w:val="center"/>
            </w:pPr>
            <w:r>
              <w:t>Cumulative return</w:t>
            </w:r>
          </w:p>
        </w:tc>
        <w:tc>
          <w:tcPr>
            <w:tcW w:w="2410" w:type="dxa"/>
          </w:tcPr>
          <w:p w14:paraId="1C3E1A9A" w14:textId="7A9466C3" w:rsidR="006D72F6" w:rsidRDefault="006D72F6" w:rsidP="006D72F6">
            <w:pPr>
              <w:jc w:val="center"/>
            </w:pPr>
            <w:r w:rsidRPr="006D72F6">
              <w:t>.0123</w:t>
            </w:r>
          </w:p>
        </w:tc>
        <w:tc>
          <w:tcPr>
            <w:tcW w:w="3237" w:type="dxa"/>
          </w:tcPr>
          <w:p w14:paraId="158F3886" w14:textId="24B60DDE" w:rsidR="006D72F6" w:rsidRDefault="0006495A" w:rsidP="006D72F6">
            <w:pPr>
              <w:jc w:val="center"/>
            </w:pPr>
            <w:r>
              <w:t>5</w:t>
            </w:r>
            <w:r w:rsidR="006D72F6" w:rsidRPr="006D72F6">
              <w:t>.7861</w:t>
            </w:r>
          </w:p>
        </w:tc>
      </w:tr>
      <w:tr w:rsidR="006D72F6" w14:paraId="0FBC4B1D" w14:textId="77777777" w:rsidTr="006D72F6">
        <w:tc>
          <w:tcPr>
            <w:tcW w:w="2263" w:type="dxa"/>
          </w:tcPr>
          <w:p w14:paraId="48F467FC" w14:textId="6CBAC489" w:rsidR="006D72F6" w:rsidRDefault="006D72F6" w:rsidP="006D72F6">
            <w:pPr>
              <w:jc w:val="center"/>
            </w:pPr>
            <w:proofErr w:type="spellStart"/>
            <w:r>
              <w:t>Std</w:t>
            </w:r>
            <w:proofErr w:type="spellEnd"/>
            <w:r>
              <w:t xml:space="preserve"> dev</w:t>
            </w:r>
          </w:p>
        </w:tc>
        <w:tc>
          <w:tcPr>
            <w:tcW w:w="2410" w:type="dxa"/>
          </w:tcPr>
          <w:p w14:paraId="6345F846" w14:textId="70E15700" w:rsidR="006D72F6" w:rsidRDefault="006D72F6" w:rsidP="006D72F6">
            <w:pPr>
              <w:jc w:val="center"/>
            </w:pPr>
            <w:r w:rsidRPr="006D72F6">
              <w:t>0.017</w:t>
            </w:r>
          </w:p>
        </w:tc>
        <w:tc>
          <w:tcPr>
            <w:tcW w:w="3237" w:type="dxa"/>
          </w:tcPr>
          <w:p w14:paraId="0E528B72" w14:textId="2C6F25A2" w:rsidR="006D72F6" w:rsidRDefault="006D72F6" w:rsidP="006D72F6">
            <w:pPr>
              <w:jc w:val="center"/>
            </w:pPr>
            <w:r w:rsidRPr="006D72F6">
              <w:t>0.0045</w:t>
            </w:r>
            <w:r>
              <w:t>5</w:t>
            </w:r>
          </w:p>
        </w:tc>
      </w:tr>
      <w:tr w:rsidR="006D72F6" w14:paraId="257BE8B5" w14:textId="77777777" w:rsidTr="006D72F6">
        <w:tc>
          <w:tcPr>
            <w:tcW w:w="2263" w:type="dxa"/>
          </w:tcPr>
          <w:p w14:paraId="459A61F0" w14:textId="4C909D4C" w:rsidR="006D72F6" w:rsidRDefault="006D72F6" w:rsidP="006D72F6">
            <w:pPr>
              <w:jc w:val="center"/>
            </w:pPr>
            <w:r>
              <w:t>Mean</w:t>
            </w:r>
          </w:p>
        </w:tc>
        <w:tc>
          <w:tcPr>
            <w:tcW w:w="2410" w:type="dxa"/>
          </w:tcPr>
          <w:p w14:paraId="4EAC1C30" w14:textId="0C73ECFA" w:rsidR="006D72F6" w:rsidRDefault="006D72F6" w:rsidP="006D72F6">
            <w:pPr>
              <w:jc w:val="center"/>
            </w:pPr>
            <w:r w:rsidRPr="006D72F6">
              <w:t>0.000168</w:t>
            </w:r>
          </w:p>
        </w:tc>
        <w:tc>
          <w:tcPr>
            <w:tcW w:w="3237" w:type="dxa"/>
          </w:tcPr>
          <w:p w14:paraId="3BC23BC6" w14:textId="292E2750" w:rsidR="006D72F6" w:rsidRDefault="006D72F6" w:rsidP="006D72F6">
            <w:pPr>
              <w:jc w:val="center"/>
            </w:pPr>
            <w:r w:rsidRPr="006D72F6">
              <w:t>0.00381</w:t>
            </w:r>
            <w:r>
              <w:t>7</w:t>
            </w:r>
          </w:p>
        </w:tc>
      </w:tr>
    </w:tbl>
    <w:p w14:paraId="769A84F5" w14:textId="2F79017F" w:rsidR="006D72F6" w:rsidRPr="002C473E" w:rsidRDefault="0006495A" w:rsidP="006D72F6">
      <w:pPr>
        <w:jc w:val="center"/>
      </w:pPr>
      <w:r>
        <w:t>Table 1: Performance metrics of the optimal strategy (in-sample)</w:t>
      </w:r>
    </w:p>
    <w:p w14:paraId="43B88C14" w14:textId="395437D6" w:rsidR="00896D94" w:rsidRDefault="00966B03" w:rsidP="006D72F6">
      <w:pPr>
        <w:pStyle w:val="Heading1"/>
      </w:pPr>
      <w:r>
        <w:t xml:space="preserve">Rule-based </w:t>
      </w:r>
      <w:r w:rsidR="006D72F6">
        <w:t>Manual Strategy</w:t>
      </w:r>
    </w:p>
    <w:p w14:paraId="65B7E8FE" w14:textId="3436E0F4" w:rsidR="006D72F6" w:rsidRDefault="006D72F6" w:rsidP="006D72F6">
      <w:r>
        <w:t>The manual strategy utilizes the indicators described above. They rely solely on past information (price) to determine whether the stock is being overbought or oversold. The threshold used in these indicators were determined by trial and error on the in</w:t>
      </w:r>
      <w:r w:rsidR="00966B03">
        <w:t>-</w:t>
      </w:r>
      <w:r>
        <w:t>sample dataset (JPM from 1</w:t>
      </w:r>
      <w:r w:rsidRPr="006D72F6">
        <w:rPr>
          <w:vertAlign w:val="superscript"/>
        </w:rPr>
        <w:t>st</w:t>
      </w:r>
      <w:r>
        <w:t xml:space="preserve"> January 2008 to 31</w:t>
      </w:r>
      <w:r w:rsidRPr="006D72F6">
        <w:rPr>
          <w:vertAlign w:val="superscript"/>
        </w:rPr>
        <w:t>st</w:t>
      </w:r>
      <w:r>
        <w:t xml:space="preserve"> December 2009) to maximize return. In particular:</w:t>
      </w:r>
    </w:p>
    <w:p w14:paraId="7EDECAF7" w14:textId="4B53C3C3" w:rsidR="006D72F6" w:rsidRDefault="006D72F6" w:rsidP="006D72F6">
      <w:r>
        <w:t>Oversold – long opportunity: when any two of these conditions are met.</w:t>
      </w:r>
    </w:p>
    <w:p w14:paraId="63341571" w14:textId="4A740D86" w:rsidR="006D72F6" w:rsidRDefault="006D72F6" w:rsidP="006D72F6">
      <w:pPr>
        <w:pStyle w:val="ListParagraph"/>
        <w:numPr>
          <w:ilvl w:val="0"/>
          <w:numId w:val="6"/>
        </w:numPr>
      </w:pPr>
      <w:r>
        <w:t>Bollinger Band Percentage &lt;= 0.6</w:t>
      </w:r>
    </w:p>
    <w:p w14:paraId="66FB22AC" w14:textId="30D6FACE" w:rsidR="006D72F6" w:rsidRDefault="006D72F6" w:rsidP="006D72F6">
      <w:pPr>
        <w:pStyle w:val="ListParagraph"/>
        <w:numPr>
          <w:ilvl w:val="0"/>
          <w:numId w:val="6"/>
        </w:numPr>
      </w:pPr>
      <w:r>
        <w:t>SMA ratio &lt; 1</w:t>
      </w:r>
    </w:p>
    <w:p w14:paraId="42607CAA" w14:textId="1F1B010E" w:rsidR="006D72F6" w:rsidRDefault="006D72F6" w:rsidP="006D72F6">
      <w:pPr>
        <w:pStyle w:val="ListParagraph"/>
        <w:numPr>
          <w:ilvl w:val="0"/>
          <w:numId w:val="6"/>
        </w:numPr>
      </w:pPr>
      <w:r>
        <w:t>Momentum &gt; 0.1</w:t>
      </w:r>
    </w:p>
    <w:p w14:paraId="6A044270" w14:textId="66E746A3" w:rsidR="006D72F6" w:rsidRDefault="006D72F6" w:rsidP="006D72F6">
      <w:r>
        <w:t>Overbought – short opportunity - when any two of these conditions are met.</w:t>
      </w:r>
    </w:p>
    <w:p w14:paraId="45C93BDA" w14:textId="4F80EC2A" w:rsidR="006D72F6" w:rsidRDefault="006D72F6" w:rsidP="006D72F6">
      <w:pPr>
        <w:pStyle w:val="ListParagraph"/>
        <w:numPr>
          <w:ilvl w:val="0"/>
          <w:numId w:val="7"/>
        </w:numPr>
      </w:pPr>
      <w:r>
        <w:t>Bollinger Band Percentage &gt;= 0.8</w:t>
      </w:r>
    </w:p>
    <w:p w14:paraId="5409EB6B" w14:textId="79357912" w:rsidR="006D72F6" w:rsidRDefault="006D72F6" w:rsidP="006D72F6">
      <w:pPr>
        <w:pStyle w:val="ListParagraph"/>
        <w:numPr>
          <w:ilvl w:val="0"/>
          <w:numId w:val="7"/>
        </w:numPr>
      </w:pPr>
      <w:r>
        <w:t>SMA ratio &gt; 1</w:t>
      </w:r>
    </w:p>
    <w:p w14:paraId="1B993DD1" w14:textId="5886ACD2" w:rsidR="006D72F6" w:rsidRDefault="006D72F6" w:rsidP="006D72F6">
      <w:pPr>
        <w:pStyle w:val="ListParagraph"/>
        <w:numPr>
          <w:ilvl w:val="0"/>
          <w:numId w:val="7"/>
        </w:numPr>
      </w:pPr>
      <w:r>
        <w:t>Momentum &lt; 0</w:t>
      </w:r>
    </w:p>
    <w:p w14:paraId="41A0D6BF" w14:textId="5CBBDFD2" w:rsidR="006D72F6" w:rsidRDefault="006D72F6" w:rsidP="006D72F6">
      <w:r>
        <w:t xml:space="preserve">If none </w:t>
      </w:r>
      <w:r w:rsidR="00966B03">
        <w:t xml:space="preserve">of the conditions are met, then maintain the current position and do not trade. </w:t>
      </w:r>
    </w:p>
    <w:p w14:paraId="2E8664CA" w14:textId="1B68024C" w:rsidR="008B79CB" w:rsidRDefault="008B79CB" w:rsidP="006D72F6">
      <w:r>
        <w:t xml:space="preserve">It is expected that a combination of indicators will perform better than individual one. However, requiring all three conditions at the same time appeared to be very conservative, resulting in the strategy </w:t>
      </w:r>
      <w:r w:rsidR="008A3268">
        <w:t xml:space="preserve">not </w:t>
      </w:r>
      <w:r>
        <w:t>trading</w:t>
      </w:r>
      <w:r w:rsidR="008A3268">
        <w:t xml:space="preserve"> very often, and yielding low return.</w:t>
      </w:r>
      <w:r>
        <w:t xml:space="preserve"> </w:t>
      </w:r>
      <w:r w:rsidR="00EC0C01">
        <w:t>Consequently, only two conditions are required, achieving a balance of a sufficiently strong signal without being too reluctant to trade.</w:t>
      </w:r>
    </w:p>
    <w:p w14:paraId="147747BE" w14:textId="27426532" w:rsidR="008B79CB" w:rsidRDefault="008B79CB" w:rsidP="006D72F6"/>
    <w:p w14:paraId="0CF31DA0" w14:textId="23882107" w:rsidR="009B762B" w:rsidRDefault="00966B03" w:rsidP="006D72F6">
      <w:r>
        <w:lastRenderedPageBreak/>
        <w:t>Figure 5 shows the return of the rule-based manual strategy.</w:t>
      </w:r>
      <w:r w:rsidR="009B762B">
        <w:t xml:space="preserve"> Table 2 shows summary of in-sample performance metrics.</w:t>
      </w:r>
    </w:p>
    <w:tbl>
      <w:tblPr>
        <w:tblStyle w:val="TableGrid"/>
        <w:tblW w:w="0" w:type="auto"/>
        <w:tblLook w:val="04A0" w:firstRow="1" w:lastRow="0" w:firstColumn="1" w:lastColumn="0" w:noHBand="0" w:noVBand="1"/>
      </w:tblPr>
      <w:tblGrid>
        <w:gridCol w:w="2263"/>
        <w:gridCol w:w="2410"/>
        <w:gridCol w:w="3237"/>
      </w:tblGrid>
      <w:tr w:rsidR="009B762B" w14:paraId="0877A98B" w14:textId="77777777" w:rsidTr="008D1795">
        <w:tc>
          <w:tcPr>
            <w:tcW w:w="2263" w:type="dxa"/>
          </w:tcPr>
          <w:p w14:paraId="0D95757B" w14:textId="4AC57280" w:rsidR="009B762B" w:rsidRPr="009B762B" w:rsidRDefault="009B762B" w:rsidP="008D1795">
            <w:pPr>
              <w:jc w:val="center"/>
              <w:rPr>
                <w:b/>
              </w:rPr>
            </w:pPr>
            <w:r w:rsidRPr="009B762B">
              <w:rPr>
                <w:b/>
              </w:rPr>
              <w:t>In-sample</w:t>
            </w:r>
          </w:p>
        </w:tc>
        <w:tc>
          <w:tcPr>
            <w:tcW w:w="2410" w:type="dxa"/>
          </w:tcPr>
          <w:p w14:paraId="39C8ADCD" w14:textId="00349B4A" w:rsidR="009B762B" w:rsidRDefault="009B762B" w:rsidP="008D1795">
            <w:pPr>
              <w:jc w:val="center"/>
            </w:pPr>
            <w:r>
              <w:t xml:space="preserve">Benchmark </w:t>
            </w:r>
          </w:p>
        </w:tc>
        <w:tc>
          <w:tcPr>
            <w:tcW w:w="3237" w:type="dxa"/>
          </w:tcPr>
          <w:p w14:paraId="62C05B33" w14:textId="409E73F3" w:rsidR="009B762B" w:rsidRDefault="009B762B" w:rsidP="008D1795">
            <w:pPr>
              <w:jc w:val="center"/>
            </w:pPr>
            <w:r>
              <w:t>Manual Strategy</w:t>
            </w:r>
          </w:p>
        </w:tc>
      </w:tr>
      <w:tr w:rsidR="009B762B" w14:paraId="0ACEBD0E" w14:textId="77777777" w:rsidTr="008D1795">
        <w:tc>
          <w:tcPr>
            <w:tcW w:w="2263" w:type="dxa"/>
          </w:tcPr>
          <w:p w14:paraId="71AFF031" w14:textId="77777777" w:rsidR="009B762B" w:rsidRDefault="009B762B" w:rsidP="008D1795">
            <w:pPr>
              <w:jc w:val="center"/>
            </w:pPr>
            <w:r>
              <w:t>Cumulative return</w:t>
            </w:r>
          </w:p>
        </w:tc>
        <w:tc>
          <w:tcPr>
            <w:tcW w:w="2410" w:type="dxa"/>
          </w:tcPr>
          <w:p w14:paraId="059E7892" w14:textId="3688DFED" w:rsidR="009B762B" w:rsidRDefault="009B762B" w:rsidP="008D1795">
            <w:pPr>
              <w:jc w:val="center"/>
            </w:pPr>
            <w:r>
              <w:t>0</w:t>
            </w:r>
            <w:r w:rsidRPr="006D72F6">
              <w:t>.0123</w:t>
            </w:r>
          </w:p>
        </w:tc>
        <w:tc>
          <w:tcPr>
            <w:tcW w:w="3237" w:type="dxa"/>
          </w:tcPr>
          <w:p w14:paraId="2B843AC1" w14:textId="3F6FE613" w:rsidR="009B762B" w:rsidRDefault="009B762B" w:rsidP="008D1795">
            <w:pPr>
              <w:jc w:val="center"/>
            </w:pPr>
            <w:r w:rsidRPr="009B762B">
              <w:t>1.2201</w:t>
            </w:r>
          </w:p>
        </w:tc>
      </w:tr>
      <w:tr w:rsidR="009B762B" w14:paraId="3907C36F" w14:textId="77777777" w:rsidTr="008D1795">
        <w:tc>
          <w:tcPr>
            <w:tcW w:w="2263" w:type="dxa"/>
          </w:tcPr>
          <w:p w14:paraId="38378BBE" w14:textId="77777777" w:rsidR="009B762B" w:rsidRDefault="009B762B" w:rsidP="008D1795">
            <w:pPr>
              <w:jc w:val="center"/>
            </w:pPr>
            <w:proofErr w:type="spellStart"/>
            <w:r>
              <w:t>Std</w:t>
            </w:r>
            <w:proofErr w:type="spellEnd"/>
            <w:r>
              <w:t xml:space="preserve"> dev</w:t>
            </w:r>
          </w:p>
        </w:tc>
        <w:tc>
          <w:tcPr>
            <w:tcW w:w="2410" w:type="dxa"/>
          </w:tcPr>
          <w:p w14:paraId="45F8C0B4" w14:textId="77777777" w:rsidR="009B762B" w:rsidRDefault="009B762B" w:rsidP="008D1795">
            <w:pPr>
              <w:jc w:val="center"/>
            </w:pPr>
            <w:r w:rsidRPr="006D72F6">
              <w:t>0.017</w:t>
            </w:r>
          </w:p>
        </w:tc>
        <w:tc>
          <w:tcPr>
            <w:tcW w:w="3237" w:type="dxa"/>
          </w:tcPr>
          <w:p w14:paraId="73059A92" w14:textId="59E0EE7B" w:rsidR="009B762B" w:rsidRDefault="009B762B" w:rsidP="008D1795">
            <w:pPr>
              <w:jc w:val="center"/>
            </w:pPr>
            <w:r w:rsidRPr="009B762B">
              <w:t>0.0106</w:t>
            </w:r>
          </w:p>
        </w:tc>
      </w:tr>
      <w:tr w:rsidR="009B762B" w14:paraId="35E9F333" w14:textId="77777777" w:rsidTr="008D1795">
        <w:tc>
          <w:tcPr>
            <w:tcW w:w="2263" w:type="dxa"/>
          </w:tcPr>
          <w:p w14:paraId="79E13E7B" w14:textId="77777777" w:rsidR="009B762B" w:rsidRDefault="009B762B" w:rsidP="008D1795">
            <w:pPr>
              <w:jc w:val="center"/>
            </w:pPr>
            <w:r>
              <w:t>Mean</w:t>
            </w:r>
          </w:p>
        </w:tc>
        <w:tc>
          <w:tcPr>
            <w:tcW w:w="2410" w:type="dxa"/>
          </w:tcPr>
          <w:p w14:paraId="5126E79F" w14:textId="77777777" w:rsidR="009B762B" w:rsidRDefault="009B762B" w:rsidP="008D1795">
            <w:pPr>
              <w:jc w:val="center"/>
            </w:pPr>
            <w:r w:rsidRPr="006D72F6">
              <w:t>0.000168</w:t>
            </w:r>
          </w:p>
        </w:tc>
        <w:tc>
          <w:tcPr>
            <w:tcW w:w="3237" w:type="dxa"/>
          </w:tcPr>
          <w:p w14:paraId="5C90B12D" w14:textId="6D8775FD" w:rsidR="009B762B" w:rsidRDefault="009B762B" w:rsidP="008D1795">
            <w:pPr>
              <w:jc w:val="center"/>
            </w:pPr>
            <w:r w:rsidRPr="009B762B">
              <w:t>0.0016</w:t>
            </w:r>
            <w:r>
              <w:t>4</w:t>
            </w:r>
          </w:p>
        </w:tc>
      </w:tr>
    </w:tbl>
    <w:p w14:paraId="4C29C9DE" w14:textId="6416E11E" w:rsidR="009B762B" w:rsidRDefault="009B762B" w:rsidP="009B762B">
      <w:pPr>
        <w:jc w:val="center"/>
      </w:pPr>
      <w:r>
        <w:t xml:space="preserve">Table 2: Performance metrics of </w:t>
      </w:r>
      <w:r w:rsidR="0006495A">
        <w:t xml:space="preserve">the </w:t>
      </w:r>
      <w:r>
        <w:t>rule-based manual strategy (in-sample)</w:t>
      </w:r>
    </w:p>
    <w:p w14:paraId="29F2A359" w14:textId="571ADA73" w:rsidR="00966B03" w:rsidRDefault="00A1587A" w:rsidP="006D72F6">
      <w:r>
        <w:rPr>
          <w:noProof/>
        </w:rPr>
        <w:drawing>
          <wp:inline distT="0" distB="0" distL="0" distR="0" wp14:anchorId="3C3B599A" wp14:editId="5A0E4259">
            <wp:extent cx="50292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ample.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4E086A78" w14:textId="4E744B78" w:rsidR="009B762B" w:rsidRDefault="009B762B" w:rsidP="009B762B">
      <w:pPr>
        <w:jc w:val="center"/>
      </w:pPr>
      <w:r>
        <w:t>Figure 5: In-sample rule-based manual strategy vs benchmark portfolio</w:t>
      </w:r>
    </w:p>
    <w:p w14:paraId="5E801AE0" w14:textId="6E959BE8" w:rsidR="009B762B" w:rsidRDefault="009B762B" w:rsidP="00225C66">
      <w:pPr>
        <w:pStyle w:val="Heading1"/>
      </w:pPr>
      <w:r>
        <w:t>Comparative Analysis</w:t>
      </w:r>
    </w:p>
    <w:p w14:paraId="7C8B18A6" w14:textId="38A51B4C" w:rsidR="00225C66" w:rsidRDefault="00225C66" w:rsidP="00225C66">
      <w:r>
        <w:t>The rule-based manual strategy is trained on the in-sample period as shown in figure 5 (JPM). It is then applied to the out-sample period (1</w:t>
      </w:r>
      <w:r w:rsidRPr="00225C66">
        <w:rPr>
          <w:vertAlign w:val="superscript"/>
        </w:rPr>
        <w:t>st</w:t>
      </w:r>
      <w:r>
        <w:t xml:space="preserve"> Jan 2010, 31 Dec 2011). The result is shown in figure 6 and table 3.</w:t>
      </w:r>
    </w:p>
    <w:p w14:paraId="3114FEBD" w14:textId="0D7D611F" w:rsidR="00225C66" w:rsidRDefault="00225C66" w:rsidP="00225C66"/>
    <w:tbl>
      <w:tblPr>
        <w:tblStyle w:val="TableGrid"/>
        <w:tblW w:w="0" w:type="auto"/>
        <w:tblLook w:val="04A0" w:firstRow="1" w:lastRow="0" w:firstColumn="1" w:lastColumn="0" w:noHBand="0" w:noVBand="1"/>
      </w:tblPr>
      <w:tblGrid>
        <w:gridCol w:w="2263"/>
        <w:gridCol w:w="2410"/>
        <w:gridCol w:w="3237"/>
      </w:tblGrid>
      <w:tr w:rsidR="00225C66" w14:paraId="30E85349" w14:textId="77777777" w:rsidTr="008D1795">
        <w:tc>
          <w:tcPr>
            <w:tcW w:w="2263" w:type="dxa"/>
          </w:tcPr>
          <w:p w14:paraId="088BFCBE" w14:textId="77777777" w:rsidR="00225C66" w:rsidRPr="009B762B" w:rsidRDefault="00225C66" w:rsidP="008D1795">
            <w:pPr>
              <w:jc w:val="center"/>
              <w:rPr>
                <w:b/>
              </w:rPr>
            </w:pPr>
            <w:r w:rsidRPr="009B762B">
              <w:rPr>
                <w:b/>
              </w:rPr>
              <w:t>In-sample</w:t>
            </w:r>
          </w:p>
        </w:tc>
        <w:tc>
          <w:tcPr>
            <w:tcW w:w="2410" w:type="dxa"/>
          </w:tcPr>
          <w:p w14:paraId="7D6BC90E" w14:textId="77777777" w:rsidR="00225C66" w:rsidRDefault="00225C66" w:rsidP="008D1795">
            <w:pPr>
              <w:jc w:val="center"/>
            </w:pPr>
            <w:r>
              <w:t xml:space="preserve">Benchmark </w:t>
            </w:r>
          </w:p>
        </w:tc>
        <w:tc>
          <w:tcPr>
            <w:tcW w:w="3237" w:type="dxa"/>
          </w:tcPr>
          <w:p w14:paraId="2B0D1B98" w14:textId="77777777" w:rsidR="00225C66" w:rsidRDefault="00225C66" w:rsidP="008D1795">
            <w:pPr>
              <w:jc w:val="center"/>
            </w:pPr>
            <w:r>
              <w:t>Manual Strategy</w:t>
            </w:r>
          </w:p>
        </w:tc>
      </w:tr>
      <w:tr w:rsidR="00225C66" w14:paraId="134AC641" w14:textId="77777777" w:rsidTr="008D1795">
        <w:tc>
          <w:tcPr>
            <w:tcW w:w="2263" w:type="dxa"/>
          </w:tcPr>
          <w:p w14:paraId="5BCFF2C8" w14:textId="77777777" w:rsidR="00225C66" w:rsidRDefault="00225C66" w:rsidP="008D1795">
            <w:pPr>
              <w:jc w:val="center"/>
            </w:pPr>
            <w:r>
              <w:t>Cumulative return</w:t>
            </w:r>
          </w:p>
        </w:tc>
        <w:tc>
          <w:tcPr>
            <w:tcW w:w="2410" w:type="dxa"/>
          </w:tcPr>
          <w:p w14:paraId="53A1C5A3" w14:textId="7BF89C48" w:rsidR="00225C66" w:rsidRDefault="00AD3731" w:rsidP="008D1795">
            <w:pPr>
              <w:jc w:val="center"/>
            </w:pPr>
            <w:r>
              <w:t>-0.08</w:t>
            </w:r>
            <w:r w:rsidR="00A1587A">
              <w:t>3</w:t>
            </w:r>
            <w:r>
              <w:t>4</w:t>
            </w:r>
          </w:p>
        </w:tc>
        <w:tc>
          <w:tcPr>
            <w:tcW w:w="3237" w:type="dxa"/>
          </w:tcPr>
          <w:p w14:paraId="0027D609" w14:textId="63EDEA4A" w:rsidR="00225C66" w:rsidRDefault="00A1587A" w:rsidP="008D1795">
            <w:pPr>
              <w:jc w:val="center"/>
            </w:pPr>
            <w:r>
              <w:t>-</w:t>
            </w:r>
            <w:r w:rsidRPr="00A1587A">
              <w:t>0.0886</w:t>
            </w:r>
          </w:p>
        </w:tc>
      </w:tr>
      <w:tr w:rsidR="00225C66" w14:paraId="22E2BBFF" w14:textId="77777777" w:rsidTr="008D1795">
        <w:tc>
          <w:tcPr>
            <w:tcW w:w="2263" w:type="dxa"/>
          </w:tcPr>
          <w:p w14:paraId="36A45AD2" w14:textId="77777777" w:rsidR="00225C66" w:rsidRDefault="00225C66" w:rsidP="008D1795">
            <w:pPr>
              <w:jc w:val="center"/>
            </w:pPr>
            <w:proofErr w:type="spellStart"/>
            <w:r>
              <w:t>Std</w:t>
            </w:r>
            <w:proofErr w:type="spellEnd"/>
            <w:r>
              <w:t xml:space="preserve"> dev</w:t>
            </w:r>
          </w:p>
        </w:tc>
        <w:tc>
          <w:tcPr>
            <w:tcW w:w="2410" w:type="dxa"/>
          </w:tcPr>
          <w:p w14:paraId="5A3CFCC4" w14:textId="52CFC0A5" w:rsidR="00225C66" w:rsidRDefault="00225C66" w:rsidP="008D1795">
            <w:pPr>
              <w:jc w:val="center"/>
            </w:pPr>
            <w:r w:rsidRPr="006D72F6">
              <w:t>0.0</w:t>
            </w:r>
            <w:r w:rsidR="00A1587A">
              <w:t>0848</w:t>
            </w:r>
          </w:p>
        </w:tc>
        <w:tc>
          <w:tcPr>
            <w:tcW w:w="3237" w:type="dxa"/>
          </w:tcPr>
          <w:p w14:paraId="70B9CC62" w14:textId="78E79972" w:rsidR="00225C66" w:rsidRDefault="00A1587A" w:rsidP="008D1795">
            <w:pPr>
              <w:jc w:val="center"/>
            </w:pPr>
            <w:r w:rsidRPr="00A1587A">
              <w:t>0.0089</w:t>
            </w:r>
            <w:r>
              <w:t>3</w:t>
            </w:r>
          </w:p>
        </w:tc>
      </w:tr>
      <w:tr w:rsidR="00225C66" w14:paraId="15B0D0C4" w14:textId="77777777" w:rsidTr="008D1795">
        <w:tc>
          <w:tcPr>
            <w:tcW w:w="2263" w:type="dxa"/>
          </w:tcPr>
          <w:p w14:paraId="6F52EACB" w14:textId="77777777" w:rsidR="00225C66" w:rsidRDefault="00225C66" w:rsidP="008D1795">
            <w:pPr>
              <w:jc w:val="center"/>
            </w:pPr>
            <w:r>
              <w:t>Mean</w:t>
            </w:r>
          </w:p>
        </w:tc>
        <w:tc>
          <w:tcPr>
            <w:tcW w:w="2410" w:type="dxa"/>
          </w:tcPr>
          <w:p w14:paraId="5B0660AF" w14:textId="569A3046" w:rsidR="00225C66" w:rsidRDefault="00A1587A" w:rsidP="008D1795">
            <w:pPr>
              <w:jc w:val="center"/>
            </w:pPr>
            <w:r>
              <w:t>-</w:t>
            </w:r>
            <w:r w:rsidR="00225C66" w:rsidRPr="006D72F6">
              <w:t>0.000</w:t>
            </w:r>
            <w:r>
              <w:t>14</w:t>
            </w:r>
          </w:p>
        </w:tc>
        <w:tc>
          <w:tcPr>
            <w:tcW w:w="3237" w:type="dxa"/>
          </w:tcPr>
          <w:p w14:paraId="1EB80BFE" w14:textId="12DC3192" w:rsidR="00225C66" w:rsidRDefault="00FE48B3" w:rsidP="008D1795">
            <w:pPr>
              <w:jc w:val="center"/>
            </w:pPr>
            <w:r>
              <w:t>-</w:t>
            </w:r>
            <w:r w:rsidR="00225C66" w:rsidRPr="009B762B">
              <w:t>0.00</w:t>
            </w:r>
            <w:r w:rsidR="00A1587A">
              <w:t>014</w:t>
            </w:r>
          </w:p>
        </w:tc>
      </w:tr>
    </w:tbl>
    <w:p w14:paraId="1E03882E" w14:textId="4D741D49" w:rsidR="00225C66" w:rsidRDefault="00225C66" w:rsidP="00225C66">
      <w:r>
        <w:t xml:space="preserve">Table 3: Performance metrics of </w:t>
      </w:r>
      <w:r w:rsidR="0006495A">
        <w:t xml:space="preserve">the </w:t>
      </w:r>
      <w:r>
        <w:t>rule-based manual strategy (out-sample)</w:t>
      </w:r>
    </w:p>
    <w:p w14:paraId="5A18B95B" w14:textId="38578BE5" w:rsidR="00225C66" w:rsidRDefault="00A1587A" w:rsidP="00225C66">
      <w:r>
        <w:rPr>
          <w:noProof/>
        </w:rPr>
        <w:drawing>
          <wp:inline distT="0" distB="0" distL="0" distR="0" wp14:anchorId="119EACA8" wp14:editId="1B23C4DB">
            <wp:extent cx="50292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sample.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bookmarkStart w:id="0" w:name="_GoBack"/>
      <w:bookmarkEnd w:id="0"/>
    </w:p>
    <w:p w14:paraId="4D6FBB87" w14:textId="4643C925" w:rsidR="00225C66" w:rsidRDefault="00225C66" w:rsidP="00225C66">
      <w:r>
        <w:t>Figure 6: Out-sample rule-based manual strategy vs benchmark portfolio</w:t>
      </w:r>
    </w:p>
    <w:p w14:paraId="31886423" w14:textId="230F10DA" w:rsidR="00A1587A" w:rsidRDefault="00A1587A" w:rsidP="00225C66">
      <w:r>
        <w:t>With the in-sample data, the strategy performs much better than the benchmark</w:t>
      </w:r>
      <w:r w:rsidR="00BC46CA">
        <w:t>, but this success is not replicated in the out-sample data. In fact, the out-sample performance of the strategy is slightly worse than the benchmark.</w:t>
      </w:r>
    </w:p>
    <w:p w14:paraId="1406496C" w14:textId="0720E8CD" w:rsidR="00BC46CA" w:rsidRDefault="00BC46CA" w:rsidP="00225C66">
      <w:r>
        <w:t xml:space="preserve">The threshold used to determine long/short position in the strategy was fine-tuned to fit the in-sample data, resulting in overfitting – the model was trained to best optimized return on in-sample data only. This can also be seen in the density </w:t>
      </w:r>
      <w:r>
        <w:lastRenderedPageBreak/>
        <w:t xml:space="preserve">of the sell/buy vertical lines. There are more buy/sell events in the in-sample data than in the out-sample. </w:t>
      </w:r>
    </w:p>
    <w:p w14:paraId="007F4029" w14:textId="77777777" w:rsidR="00225C66" w:rsidRPr="00225C66" w:rsidRDefault="00225C66" w:rsidP="00225C66"/>
    <w:p w14:paraId="518DBE45" w14:textId="77777777" w:rsidR="006D72F6" w:rsidRDefault="006D72F6" w:rsidP="006D72F6"/>
    <w:p w14:paraId="78A803DA" w14:textId="77777777" w:rsidR="006D72F6" w:rsidRDefault="006D72F6" w:rsidP="006D72F6"/>
    <w:p w14:paraId="1D82CF73" w14:textId="5278C9B3" w:rsidR="006D72F6" w:rsidRPr="006D72F6" w:rsidRDefault="006D72F6" w:rsidP="006D72F6">
      <w:r>
        <w:t xml:space="preserve"> </w:t>
      </w:r>
    </w:p>
    <w:sectPr w:rsidR="006D72F6" w:rsidRPr="006D72F6" w:rsidSect="00BD5831">
      <w:headerReference w:type="default" r:id="rId15"/>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0CD13" w14:textId="77777777" w:rsidR="00693301" w:rsidRDefault="00693301" w:rsidP="00D5034D">
      <w:pPr>
        <w:spacing w:after="0" w:line="240" w:lineRule="auto"/>
      </w:pPr>
      <w:r>
        <w:separator/>
      </w:r>
    </w:p>
  </w:endnote>
  <w:endnote w:type="continuationSeparator" w:id="0">
    <w:p w14:paraId="42EC1A7E" w14:textId="77777777" w:rsidR="00693301" w:rsidRDefault="00693301"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72097" w14:textId="77777777" w:rsidR="00693301" w:rsidRDefault="00693301" w:rsidP="00D5034D">
      <w:pPr>
        <w:spacing w:after="0" w:line="240" w:lineRule="auto"/>
      </w:pPr>
      <w:r>
        <w:separator/>
      </w:r>
    </w:p>
  </w:footnote>
  <w:footnote w:type="continuationSeparator" w:id="0">
    <w:p w14:paraId="590EB445" w14:textId="77777777" w:rsidR="00693301" w:rsidRDefault="00693301"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7ECA0399"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F8F893"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62CE"/>
    <w:multiLevelType w:val="hybridMultilevel"/>
    <w:tmpl w:val="F86A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31AF7"/>
    <w:multiLevelType w:val="hybridMultilevel"/>
    <w:tmpl w:val="F86A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4620"/>
    <w:multiLevelType w:val="hybridMultilevel"/>
    <w:tmpl w:val="8822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60C9E"/>
    <w:rsid w:val="0006495A"/>
    <w:rsid w:val="000D3149"/>
    <w:rsid w:val="00136C5B"/>
    <w:rsid w:val="00193D55"/>
    <w:rsid w:val="001B38C1"/>
    <w:rsid w:val="001B5695"/>
    <w:rsid w:val="001F39B3"/>
    <w:rsid w:val="00205578"/>
    <w:rsid w:val="00225C66"/>
    <w:rsid w:val="00267B56"/>
    <w:rsid w:val="002C473E"/>
    <w:rsid w:val="003061EB"/>
    <w:rsid w:val="003125D2"/>
    <w:rsid w:val="00340065"/>
    <w:rsid w:val="00357723"/>
    <w:rsid w:val="0038166E"/>
    <w:rsid w:val="003D1537"/>
    <w:rsid w:val="003F5335"/>
    <w:rsid w:val="00457AA8"/>
    <w:rsid w:val="00480150"/>
    <w:rsid w:val="004B2B6A"/>
    <w:rsid w:val="004D0F96"/>
    <w:rsid w:val="00550319"/>
    <w:rsid w:val="0058767C"/>
    <w:rsid w:val="005A743B"/>
    <w:rsid w:val="005B0A0F"/>
    <w:rsid w:val="00671B18"/>
    <w:rsid w:val="00693301"/>
    <w:rsid w:val="006A70C4"/>
    <w:rsid w:val="006D72F6"/>
    <w:rsid w:val="00762A4E"/>
    <w:rsid w:val="007A417C"/>
    <w:rsid w:val="007C4BC6"/>
    <w:rsid w:val="00805D71"/>
    <w:rsid w:val="00814B73"/>
    <w:rsid w:val="00896D94"/>
    <w:rsid w:val="008A3268"/>
    <w:rsid w:val="008B79CB"/>
    <w:rsid w:val="008D46DC"/>
    <w:rsid w:val="008E190E"/>
    <w:rsid w:val="00966B03"/>
    <w:rsid w:val="009B0486"/>
    <w:rsid w:val="009B18F7"/>
    <w:rsid w:val="009B762B"/>
    <w:rsid w:val="00A1587A"/>
    <w:rsid w:val="00A16FF5"/>
    <w:rsid w:val="00A37E26"/>
    <w:rsid w:val="00A46413"/>
    <w:rsid w:val="00A516DB"/>
    <w:rsid w:val="00A72C2D"/>
    <w:rsid w:val="00AA0529"/>
    <w:rsid w:val="00AA4241"/>
    <w:rsid w:val="00AD3731"/>
    <w:rsid w:val="00B247B4"/>
    <w:rsid w:val="00B51BD3"/>
    <w:rsid w:val="00B80F47"/>
    <w:rsid w:val="00BC46CA"/>
    <w:rsid w:val="00BD5831"/>
    <w:rsid w:val="00BE4C20"/>
    <w:rsid w:val="00C01047"/>
    <w:rsid w:val="00C723D1"/>
    <w:rsid w:val="00C81ED3"/>
    <w:rsid w:val="00CD4572"/>
    <w:rsid w:val="00D1265D"/>
    <w:rsid w:val="00D43E7A"/>
    <w:rsid w:val="00D5034D"/>
    <w:rsid w:val="00D92C0F"/>
    <w:rsid w:val="00DA02C6"/>
    <w:rsid w:val="00DE3218"/>
    <w:rsid w:val="00E35BB5"/>
    <w:rsid w:val="00E42C3E"/>
    <w:rsid w:val="00E623F7"/>
    <w:rsid w:val="00E632BC"/>
    <w:rsid w:val="00EC0C01"/>
    <w:rsid w:val="00F224D5"/>
    <w:rsid w:val="00F3634B"/>
    <w:rsid w:val="00FA0EDA"/>
    <w:rsid w:val="00FA3D10"/>
    <w:rsid w:val="00FE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C3E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896D94"/>
    <w:pPr>
      <w:ind w:left="720"/>
      <w:contextualSpacing/>
    </w:pPr>
  </w:style>
  <w:style w:type="table" w:styleId="TableGrid">
    <w:name w:val="Table Grid"/>
    <w:basedOn w:val="TableNormal"/>
    <w:uiPriority w:val="39"/>
    <w:rsid w:val="006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nguyen497@gatech.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82708-0597-F048-962A-A1B663AB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216</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Tri Nguyen</cp:lastModifiedBy>
  <cp:revision>41</cp:revision>
  <dcterms:created xsi:type="dcterms:W3CDTF">2018-08-12T01:52:00Z</dcterms:created>
  <dcterms:modified xsi:type="dcterms:W3CDTF">2019-10-25T11:36:00Z</dcterms:modified>
</cp:coreProperties>
</file>