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6" w:space="0" w:color="000000"/>
          <w:left w:val="single" w:sz="6" w:space="0" w:color="000000"/>
          <w:bottom w:val="single" w:sz="6" w:space="0" w:color="000000"/>
          <w:right w:val="single" w:sz="6" w:space="0" w:color="000000"/>
        </w:tblBorders>
        <w:tblLook w:val="0600" w:firstRow="0" w:lastRow="0" w:firstColumn="0" w:lastColumn="0" w:noHBand="1" w:noVBand="1"/>
      </w:tblPr>
      <w:tblGrid>
        <w:gridCol w:w="7295"/>
        <w:gridCol w:w="3127"/>
      </w:tblGrid>
      <w:tr w:rsidR="00285FA2" w14:paraId="1D92131E" w14:textId="77777777">
        <w:trPr>
          <w:tblHeader/>
        </w:trPr>
        <w:tc>
          <w:tcPr>
            <w:tcW w:w="35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D92131C" w14:textId="77777777" w:rsidR="00285FA2" w:rsidRDefault="00EC39A4">
            <w:pPr>
              <w:pStyle w:val="SpireTableThStyle112d6b0b-020d-4024-ba7e-91f4d0d2734b"/>
              <w:shd w:val="clear" w:color="auto" w:fill="C0C0C0"/>
              <w:rPr>
                <w:noProof/>
              </w:rPr>
            </w:pPr>
            <w:r>
              <w:rPr>
                <w:rFonts w:ascii="Arial" w:eastAsia="Arial" w:hAnsi="Arial" w:cs="Arial"/>
                <w:noProof/>
                <w:sz w:val="27"/>
                <w:shd w:val="clear" w:color="auto" w:fill="C0C0C0"/>
              </w:rPr>
              <w:t>DATOS PERSONALES</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1D92131D" w14:textId="77777777" w:rsidR="00285FA2" w:rsidRDefault="00EC39A4">
            <w:pPr>
              <w:pStyle w:val="SpireTableThStyle9c54339f-efe8-4d60-800e-a0e82cfd745a"/>
              <w:shd w:val="clear" w:color="auto" w:fill="C0C0C0"/>
              <w:rPr>
                <w:noProof/>
              </w:rPr>
            </w:pPr>
            <w:r>
              <w:rPr>
                <w:rFonts w:ascii="Arial" w:eastAsia="Arial" w:hAnsi="Arial" w:cs="Arial"/>
                <w:noProof/>
                <w:sz w:val="27"/>
                <w:shd w:val="clear" w:color="auto" w:fill="C0C0C0"/>
              </w:rPr>
              <w:t>FIRMA</w:t>
            </w:r>
          </w:p>
        </w:tc>
      </w:tr>
      <w:tr w:rsidR="00285FA2" w14:paraId="1D921324"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tbl>
            <w:tblPr>
              <w:tblW w:w="5000" w:type="pct"/>
              <w:tblLook w:val="0600" w:firstRow="0" w:lastRow="0" w:firstColumn="0" w:lastColumn="0" w:noHBand="1" w:noVBand="1"/>
            </w:tblPr>
            <w:tblGrid>
              <w:gridCol w:w="3632"/>
              <w:gridCol w:w="3633"/>
            </w:tblGrid>
            <w:tr w:rsidR="00285FA2" w14:paraId="1D921321" w14:textId="77777777">
              <w:tc>
                <w:tcPr>
                  <w:tcW w:w="2500" w:type="pct"/>
                  <w:shd w:val="clear" w:color="auto" w:fill="auto"/>
                  <w:vAlign w:val="center"/>
                </w:tcPr>
                <w:p w14:paraId="1D92131F" w14:textId="77777777" w:rsidR="00285FA2" w:rsidRDefault="00EC39A4">
                  <w:pPr>
                    <w:rPr>
                      <w:noProof/>
                    </w:rPr>
                  </w:pPr>
                  <w:r>
                    <w:rPr>
                      <w:rFonts w:ascii="Arial" w:eastAsia="Arial" w:hAnsi="Arial" w:cs="Arial"/>
                      <w:noProof/>
                      <w:color w:val="808080"/>
                      <w:sz w:val="27"/>
                    </w:rPr>
                    <w:t xml:space="preserve">Nombre: </w:t>
                  </w:r>
                </w:p>
              </w:tc>
              <w:tc>
                <w:tcPr>
                  <w:tcW w:w="0" w:type="auto"/>
                  <w:shd w:val="clear" w:color="auto" w:fill="auto"/>
                  <w:vAlign w:val="center"/>
                </w:tcPr>
                <w:p w14:paraId="1D921320" w14:textId="77777777" w:rsidR="00285FA2" w:rsidRDefault="00EC39A4">
                  <w:pPr>
                    <w:rPr>
                      <w:noProof/>
                    </w:rPr>
                  </w:pPr>
                  <w:r>
                    <w:rPr>
                      <w:rFonts w:ascii="Arial" w:eastAsia="Arial" w:hAnsi="Arial" w:cs="Arial"/>
                      <w:noProof/>
                      <w:color w:val="808080"/>
                      <w:sz w:val="27"/>
                    </w:rPr>
                    <w:t>DNI:</w:t>
                  </w:r>
                </w:p>
              </w:tc>
            </w:tr>
          </w:tbl>
          <w:p w14:paraId="1D921322" w14:textId="77777777" w:rsidR="00285FA2" w:rsidRDefault="00285FA2">
            <w:pPr>
              <w:rPr>
                <w:noProof/>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1D921323" w14:textId="77777777" w:rsidR="00285FA2" w:rsidRDefault="00285FA2">
            <w:pPr>
              <w:rPr>
                <w:noProof/>
              </w:rPr>
            </w:pPr>
          </w:p>
        </w:tc>
      </w:tr>
      <w:tr w:rsidR="00285FA2" w14:paraId="1D921327"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1D921325" w14:textId="77777777" w:rsidR="00285FA2" w:rsidRDefault="00EC39A4">
            <w:pPr>
              <w:rPr>
                <w:noProof/>
              </w:rPr>
            </w:pPr>
            <w:r>
              <w:rPr>
                <w:rFonts w:ascii="Arial" w:eastAsia="Arial" w:hAnsi="Arial" w:cs="Arial"/>
                <w:noProof/>
                <w:color w:val="808080"/>
                <w:sz w:val="27"/>
              </w:rPr>
              <w:t xml:space="preserve">Apellidos: </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1D921326" w14:textId="77777777" w:rsidR="00285FA2" w:rsidRDefault="00285FA2">
            <w:pPr>
              <w:rPr>
                <w:noProof/>
              </w:rPr>
            </w:pPr>
          </w:p>
        </w:tc>
      </w:tr>
    </w:tbl>
    <w:p w14:paraId="1D921328" w14:textId="77777777" w:rsidR="00285FA2" w:rsidRDefault="00285FA2">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285FA2" w14:paraId="1D92132C"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D921329" w14:textId="77777777" w:rsidR="00285FA2" w:rsidRDefault="00EC39A4">
            <w:pPr>
              <w:pStyle w:val="SpireTableThStylebe912075-118e-49fc-b9b1-5cfcdd11a37a"/>
              <w:shd w:val="clear" w:color="auto" w:fill="C0C0C0"/>
              <w:rPr>
                <w:noProof/>
              </w:rPr>
            </w:pPr>
            <w:r>
              <w:rPr>
                <w:rFonts w:ascii="Arial" w:eastAsia="Arial" w:hAnsi="Arial" w:cs="Arial"/>
                <w:noProof/>
                <w:color w:val="FFFFFF"/>
                <w:sz w:val="27"/>
                <w:shd w:val="clear" w:color="auto" w:fill="C0C0C0"/>
              </w:rPr>
              <w:t>ESTUDIO</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D92132A" w14:textId="77777777" w:rsidR="00285FA2" w:rsidRDefault="00EC39A4">
            <w:pPr>
              <w:pStyle w:val="SpireTableThStyle47addfac-b14d-41e9-b3f0-7db419484846"/>
              <w:shd w:val="clear" w:color="auto" w:fill="C0C0C0"/>
              <w:rPr>
                <w:noProof/>
              </w:rPr>
            </w:pPr>
            <w:r>
              <w:rPr>
                <w:rFonts w:ascii="Arial" w:eastAsia="Arial" w:hAnsi="Arial" w:cs="Arial"/>
                <w:noProof/>
                <w:color w:val="FFFFFF"/>
                <w:sz w:val="27"/>
                <w:shd w:val="clear" w:color="auto" w:fill="C0C0C0"/>
              </w:rPr>
              <w:t>ASIGNATURA</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1D92132B" w14:textId="77777777" w:rsidR="00285FA2" w:rsidRDefault="00EC39A4">
            <w:pPr>
              <w:pStyle w:val="SpireTableThStyle37aca7da-44a5-47dd-8b44-51d6ca66fbfc"/>
              <w:shd w:val="clear" w:color="auto" w:fill="C0C0C0"/>
              <w:rPr>
                <w:noProof/>
              </w:rPr>
            </w:pPr>
            <w:r>
              <w:rPr>
                <w:rFonts w:ascii="Arial" w:eastAsia="Arial" w:hAnsi="Arial" w:cs="Arial"/>
                <w:noProof/>
                <w:color w:val="FFFFFF"/>
                <w:sz w:val="27"/>
                <w:shd w:val="clear" w:color="auto" w:fill="C0C0C0"/>
              </w:rPr>
              <w:t>CONVOCATORIA</w:t>
            </w:r>
          </w:p>
        </w:tc>
      </w:tr>
      <w:tr w:rsidR="00285FA2" w14:paraId="1D921330"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1D92132D" w14:textId="77777777" w:rsidR="00285FA2" w:rsidRDefault="00EC39A4">
            <w:pPr>
              <w:spacing w:beforeAutospacing="1" w:afterAutospacing="1"/>
              <w:jc w:val="center"/>
              <w:rPr>
                <w:rFonts w:ascii="Arial" w:eastAsia="Arial" w:hAnsi="Arial" w:cs="Arial"/>
                <w:noProof/>
                <w:color w:val="808080"/>
                <w:sz w:val="21"/>
              </w:rPr>
            </w:pPr>
            <w:r>
              <w:rPr>
                <w:rFonts w:ascii="Arial" w:eastAsia="Arial" w:hAnsi="Arial" w:cs="Arial"/>
                <w:noProof/>
                <w:color w:val="808080"/>
                <w:sz w:val="21"/>
              </w:rPr>
              <w:t>MÁSTER UNIVERSITARIO EN INGENIERÍA MATEMÁTICA Y COMPUTACIÓN (PLAN 2021)</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1D92132E" w14:textId="77777777" w:rsidR="00285FA2" w:rsidRDefault="00EC39A4">
            <w:pPr>
              <w:spacing w:beforeAutospacing="1" w:afterAutospacing="1"/>
              <w:jc w:val="center"/>
              <w:rPr>
                <w:rFonts w:ascii="Arial" w:eastAsia="Arial" w:hAnsi="Arial" w:cs="Arial"/>
                <w:noProof/>
                <w:color w:val="808080"/>
              </w:rPr>
            </w:pPr>
            <w:r>
              <w:rPr>
                <w:rFonts w:ascii="Arial" w:eastAsia="Arial" w:hAnsi="Arial" w:cs="Arial"/>
                <w:noProof/>
                <w:color w:val="808080"/>
              </w:rPr>
              <w:t>10500.- MODELIZACIÓN Y VALORACIÓN DE DERIVADOS Y CARTERAS EN FINANZAS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150" w:type="dxa"/>
              <w:bottom w:w="225" w:type="dxa"/>
              <w:right w:w="0" w:type="dxa"/>
            </w:tcMar>
            <w:vAlign w:val="center"/>
          </w:tcPr>
          <w:p w14:paraId="1D92132F" w14:textId="77777777" w:rsidR="00285FA2" w:rsidRDefault="00EC39A4">
            <w:pPr>
              <w:spacing w:beforeAutospacing="1" w:afterAutospacing="1"/>
              <w:rPr>
                <w:rFonts w:ascii="Arial" w:eastAsia="Arial" w:hAnsi="Arial" w:cs="Arial"/>
                <w:noProof/>
                <w:color w:val="808080"/>
                <w:sz w:val="27"/>
              </w:rPr>
            </w:pPr>
            <w:r>
              <w:rPr>
                <w:rFonts w:ascii="Arial" w:eastAsia="Arial" w:hAnsi="Arial" w:cs="Arial"/>
                <w:noProof/>
                <w:color w:val="808080"/>
                <w:sz w:val="27"/>
              </w:rPr>
              <w:t>Ordinaria</w:t>
            </w:r>
            <w:r>
              <w:rPr>
                <w:rFonts w:ascii="Arial" w:eastAsia="Arial" w:hAnsi="Arial" w:cs="Arial"/>
                <w:noProof/>
                <w:color w:val="808080"/>
                <w:sz w:val="27"/>
              </w:rPr>
              <w:br/>
              <w:t>Número periodo 3362</w:t>
            </w:r>
          </w:p>
        </w:tc>
      </w:tr>
    </w:tbl>
    <w:p w14:paraId="1D921331" w14:textId="77777777" w:rsidR="00285FA2" w:rsidRDefault="00285FA2">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285FA2" w14:paraId="1D921335"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D921332" w14:textId="77777777" w:rsidR="00285FA2" w:rsidRDefault="00EC39A4">
            <w:pPr>
              <w:pStyle w:val="SpireTableThStyleba569040-e3fb-4723-8ccf-5db8021bbdd5"/>
              <w:shd w:val="clear" w:color="auto" w:fill="C0C0C0"/>
              <w:rPr>
                <w:noProof/>
              </w:rPr>
            </w:pPr>
            <w:r>
              <w:rPr>
                <w:rFonts w:ascii="Arial" w:eastAsia="Arial" w:hAnsi="Arial" w:cs="Arial"/>
                <w:noProof/>
                <w:color w:val="FFFFFF"/>
                <w:sz w:val="27"/>
                <w:shd w:val="clear" w:color="auto" w:fill="C0C0C0"/>
              </w:rPr>
              <w:t>FECHA</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D921333" w14:textId="77777777" w:rsidR="00285FA2" w:rsidRDefault="00EC39A4">
            <w:pPr>
              <w:pStyle w:val="SpireTableThStyle0d95ed23-01cd-41d3-8580-89f70edd0235"/>
              <w:shd w:val="clear" w:color="auto" w:fill="C0C0C0"/>
              <w:rPr>
                <w:noProof/>
              </w:rPr>
            </w:pPr>
            <w:r>
              <w:rPr>
                <w:rFonts w:ascii="Arial" w:eastAsia="Arial" w:hAnsi="Arial" w:cs="Arial"/>
                <w:noProof/>
                <w:color w:val="FFFFFF"/>
                <w:sz w:val="27"/>
                <w:shd w:val="clear" w:color="auto" w:fill="C0C0C0"/>
              </w:rPr>
              <w:t>MODELO</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1D921334" w14:textId="77777777" w:rsidR="00285FA2" w:rsidRDefault="00EC39A4">
            <w:pPr>
              <w:pStyle w:val="SpireTableThStyle8aae5065-dd42-4b57-8f4c-3b4025b4f184"/>
              <w:shd w:val="clear" w:color="auto" w:fill="C0C0C0"/>
              <w:rPr>
                <w:noProof/>
              </w:rPr>
            </w:pPr>
            <w:r>
              <w:rPr>
                <w:rFonts w:ascii="Arial" w:eastAsia="Arial" w:hAnsi="Arial" w:cs="Arial"/>
                <w:noProof/>
                <w:color w:val="FFFFFF"/>
                <w:sz w:val="27"/>
                <w:shd w:val="clear" w:color="auto" w:fill="C0C0C0"/>
              </w:rPr>
              <w:t>CIUDAD DEL EXAMEN</w:t>
            </w:r>
          </w:p>
        </w:tc>
      </w:tr>
      <w:tr w:rsidR="00285FA2" w14:paraId="1D921339"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1D921336" w14:textId="77777777" w:rsidR="00285FA2" w:rsidRDefault="00EC39A4">
            <w:pPr>
              <w:jc w:val="center"/>
              <w:rPr>
                <w:noProof/>
              </w:rPr>
            </w:pPr>
            <w:r>
              <w:rPr>
                <w:rFonts w:ascii="Arial" w:eastAsia="Arial" w:hAnsi="Arial" w:cs="Arial"/>
                <w:noProof/>
                <w:color w:val="808080"/>
                <w:sz w:val="27"/>
              </w:rPr>
              <w:t>15-17/07/2022</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1D921337" w14:textId="77777777" w:rsidR="00285FA2" w:rsidRDefault="00EC39A4">
            <w:pPr>
              <w:jc w:val="center"/>
              <w:rPr>
                <w:noProof/>
              </w:rPr>
            </w:pPr>
            <w:r>
              <w:rPr>
                <w:rFonts w:ascii="Arial" w:eastAsia="Arial" w:hAnsi="Arial" w:cs="Arial"/>
                <w:noProof/>
                <w:color w:val="808080"/>
                <w:sz w:val="27"/>
              </w:rPr>
              <w:t>Modelo - C</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1D921338" w14:textId="77777777" w:rsidR="00285FA2" w:rsidRDefault="00285FA2">
            <w:pPr>
              <w:rPr>
                <w:noProof/>
              </w:rPr>
            </w:pPr>
          </w:p>
        </w:tc>
      </w:tr>
    </w:tbl>
    <w:p w14:paraId="1D92133A" w14:textId="77777777" w:rsidR="00285FA2" w:rsidRDefault="00285FA2">
      <w:pPr>
        <w:rPr>
          <w:noProof/>
          <w:vanish/>
        </w:rPr>
      </w:pPr>
    </w:p>
    <w:tbl>
      <w:tblPr>
        <w:tblW w:w="5000" w:type="pct"/>
        <w:tblLook w:val="0600" w:firstRow="0" w:lastRow="0" w:firstColumn="0" w:lastColumn="0" w:noHBand="1" w:noVBand="1"/>
      </w:tblPr>
      <w:tblGrid>
        <w:gridCol w:w="10422"/>
      </w:tblGrid>
      <w:tr w:rsidR="00285FA2" w14:paraId="1D92133C" w14:textId="77777777">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D92133B" w14:textId="77777777" w:rsidR="00285FA2" w:rsidRDefault="00EC39A4">
            <w:pPr>
              <w:pStyle w:val="SpireTableThStyle84c16e16-8231-47a4-a6c5-86252ddbde42"/>
              <w:shd w:val="clear" w:color="auto" w:fill="C0C0C0"/>
              <w:rPr>
                <w:noProof/>
              </w:rPr>
            </w:pPr>
            <w:r>
              <w:rPr>
                <w:rFonts w:ascii="Arial" w:eastAsia="Arial" w:hAnsi="Arial" w:cs="Arial"/>
                <w:noProof/>
                <w:color w:val="FFFFFF"/>
                <w:sz w:val="27"/>
                <w:shd w:val="clear" w:color="auto" w:fill="C0C0C0"/>
              </w:rPr>
              <w:t>Etiqueta identificativa</w:t>
            </w:r>
          </w:p>
        </w:tc>
      </w:tr>
      <w:tr w:rsidR="00285FA2" w14:paraId="1D92133E" w14:textId="77777777">
        <w:trPr>
          <w:trHeight w:val="2250"/>
        </w:trPr>
        <w:tc>
          <w:tcPr>
            <w:tcW w:w="100" w:type="auto"/>
            <w:shd w:val="clear" w:color="auto" w:fill="auto"/>
            <w:vAlign w:val="center"/>
          </w:tcPr>
          <w:p w14:paraId="1D92133D" w14:textId="77777777" w:rsidR="00285FA2" w:rsidRDefault="00EC39A4">
            <w:pPr>
              <w:jc w:val="center"/>
              <w:rPr>
                <w:noProof/>
              </w:rPr>
            </w:pPr>
            <w:r>
              <w:rPr>
                <w:rFonts w:ascii="Arial" w:eastAsia="Arial" w:hAnsi="Arial" w:cs="Arial"/>
                <w:noProof/>
                <w:sz w:val="27"/>
              </w:rPr>
              <w:t> </w:t>
            </w:r>
          </w:p>
        </w:tc>
      </w:tr>
    </w:tbl>
    <w:p w14:paraId="1D92133F" w14:textId="77777777" w:rsidR="00285FA2" w:rsidRDefault="00EC39A4">
      <w:pPr>
        <w:rPr>
          <w:noProof/>
        </w:rPr>
      </w:pPr>
      <w:r>
        <w:rPr>
          <w:noProof/>
        </w:rPr>
        <w:br/>
      </w:r>
    </w:p>
    <w:p w14:paraId="1D921340" w14:textId="77777777" w:rsidR="00285FA2" w:rsidRDefault="00EC39A4">
      <w:pPr>
        <w:spacing w:beforeAutospacing="1" w:afterAutospacing="1"/>
        <w:jc w:val="center"/>
        <w:rPr>
          <w:rFonts w:ascii="Arial" w:eastAsia="Arial" w:hAnsi="Arial" w:cs="Arial"/>
          <w:b/>
          <w:noProof/>
          <w:color w:val="808080"/>
          <w:sz w:val="36"/>
        </w:rPr>
      </w:pPr>
      <w:r>
        <w:rPr>
          <w:rFonts w:ascii="Arial" w:eastAsia="Arial" w:hAnsi="Arial" w:cs="Arial"/>
          <w:b/>
          <w:noProof/>
          <w:color w:val="808080"/>
          <w:sz w:val="36"/>
        </w:rPr>
        <w:t xml:space="preserve">INSTRUCCIONES GENERALES </w:t>
      </w:r>
    </w:p>
    <w:p w14:paraId="1D921341" w14:textId="77777777" w:rsidR="00285FA2" w:rsidRDefault="00EC39A4">
      <w:pPr>
        <w:numPr>
          <w:ilvl w:val="0"/>
          <w:numId w:val="3"/>
        </w:numPr>
        <w:spacing w:beforeAutospacing="1"/>
        <w:divId w:val="1"/>
        <w:rPr>
          <w:noProof/>
        </w:rPr>
      </w:pPr>
      <w:r>
        <w:rPr>
          <w:rFonts w:ascii="Arial" w:eastAsia="Arial" w:hAnsi="Arial" w:cs="Arial"/>
          <w:noProof/>
          <w:color w:val="000000"/>
        </w:rPr>
        <w:t>Ten disponible tu documentación oficial para identificarte, en el caso de que se te solicite.</w:t>
      </w:r>
    </w:p>
    <w:p w14:paraId="1D921342" w14:textId="77777777" w:rsidR="00285FA2" w:rsidRDefault="00EC39A4">
      <w:pPr>
        <w:numPr>
          <w:ilvl w:val="0"/>
          <w:numId w:val="3"/>
        </w:numPr>
        <w:divId w:val="1"/>
        <w:rPr>
          <w:noProof/>
        </w:rPr>
      </w:pPr>
      <w:r>
        <w:rPr>
          <w:rFonts w:ascii="Arial" w:eastAsia="Arial" w:hAnsi="Arial" w:cs="Arial"/>
          <w:noProof/>
          <w:color w:val="000000"/>
        </w:rPr>
        <w:t xml:space="preserve">Rellena tus datos personales en todos los espacios fijados para ello y lee atentamente todas las preguntas antes de empezar. </w:t>
      </w:r>
    </w:p>
    <w:p w14:paraId="1D921343" w14:textId="77777777" w:rsidR="00285FA2" w:rsidRDefault="00EC39A4">
      <w:pPr>
        <w:numPr>
          <w:ilvl w:val="0"/>
          <w:numId w:val="3"/>
        </w:numPr>
        <w:divId w:val="1"/>
        <w:rPr>
          <w:noProof/>
        </w:rPr>
      </w:pPr>
      <w:r>
        <w:rPr>
          <w:rFonts w:ascii="Arial" w:eastAsia="Arial" w:hAnsi="Arial" w:cs="Arial"/>
          <w:noProof/>
          <w:color w:val="000000"/>
        </w:rPr>
        <w:t>Las preguntas se contestarán en la l</w:t>
      </w:r>
      <w:r>
        <w:rPr>
          <w:rFonts w:ascii="Arial" w:eastAsia="Arial" w:hAnsi="Arial" w:cs="Arial"/>
          <w:noProof/>
          <w:color w:val="000000"/>
        </w:rPr>
        <w:t>engua vehicular de esta asignatura.</w:t>
      </w:r>
    </w:p>
    <w:p w14:paraId="1D921344" w14:textId="77777777" w:rsidR="00285FA2" w:rsidRDefault="00EC39A4">
      <w:pPr>
        <w:numPr>
          <w:ilvl w:val="0"/>
          <w:numId w:val="3"/>
        </w:numPr>
        <w:divId w:val="1"/>
        <w:rPr>
          <w:noProof/>
        </w:rPr>
      </w:pPr>
      <w:r>
        <w:rPr>
          <w:rFonts w:ascii="Arial" w:eastAsia="Arial" w:hAnsi="Arial" w:cs="Arial"/>
          <w:noProof/>
          <w:color w:val="000000"/>
        </w:rPr>
        <w:t>Si tu examen consta de una parte tipo test, indica las respuestas en la plantilla según las características de este.</w:t>
      </w:r>
    </w:p>
    <w:p w14:paraId="1D921345" w14:textId="77777777" w:rsidR="00285FA2" w:rsidRDefault="00EC39A4">
      <w:pPr>
        <w:numPr>
          <w:ilvl w:val="0"/>
          <w:numId w:val="3"/>
        </w:numPr>
        <w:divId w:val="1"/>
        <w:rPr>
          <w:noProof/>
        </w:rPr>
      </w:pPr>
      <w:r>
        <w:rPr>
          <w:rFonts w:ascii="Arial" w:eastAsia="Arial" w:hAnsi="Arial" w:cs="Arial"/>
          <w:noProof/>
          <w:color w:val="000000"/>
        </w:rPr>
        <w:t>Debes contestar en el documento adjunto, respetando en todo momento el espaciado indicado para cada pre</w:t>
      </w:r>
      <w:r>
        <w:rPr>
          <w:rFonts w:ascii="Arial" w:eastAsia="Arial" w:hAnsi="Arial" w:cs="Arial"/>
          <w:noProof/>
          <w:color w:val="000000"/>
        </w:rPr>
        <w:t xml:space="preserve">gunta. Si este es en formato digital, los márgenes, el interlineado, fuente y tamaño de letra vienen dados por defecto y no deben modificarse. En cualquier caso, asegúrate de que la presentación es suficientemente clara y legible. </w:t>
      </w:r>
    </w:p>
    <w:p w14:paraId="1D921346" w14:textId="77777777" w:rsidR="00285FA2" w:rsidRDefault="00EC39A4">
      <w:pPr>
        <w:numPr>
          <w:ilvl w:val="0"/>
          <w:numId w:val="3"/>
        </w:numPr>
        <w:divId w:val="1"/>
        <w:rPr>
          <w:noProof/>
        </w:rPr>
      </w:pPr>
      <w:r>
        <w:rPr>
          <w:rFonts w:ascii="Arial" w:eastAsia="Arial" w:hAnsi="Arial" w:cs="Arial"/>
          <w:noProof/>
          <w:color w:val="000000"/>
        </w:rPr>
        <w:t>Entrega toda la document</w:t>
      </w:r>
      <w:r>
        <w:rPr>
          <w:rFonts w:ascii="Arial" w:eastAsia="Arial" w:hAnsi="Arial" w:cs="Arial"/>
          <w:noProof/>
          <w:color w:val="000000"/>
        </w:rPr>
        <w:t xml:space="preserve">ación relativa al examen, revisando con detenimiento que los archivos o documentos son los correctos. El envío de archivos erróneos o un envío incompleto supondrá una calificación de “no presentado”. </w:t>
      </w:r>
    </w:p>
    <w:p w14:paraId="1D921347" w14:textId="77777777" w:rsidR="00285FA2" w:rsidRDefault="00EC39A4">
      <w:pPr>
        <w:numPr>
          <w:ilvl w:val="0"/>
          <w:numId w:val="3"/>
        </w:numPr>
        <w:divId w:val="1"/>
        <w:rPr>
          <w:noProof/>
        </w:rPr>
      </w:pPr>
      <w:r>
        <w:rPr>
          <w:rFonts w:ascii="Arial" w:eastAsia="Arial" w:hAnsi="Arial" w:cs="Arial"/>
          <w:noProof/>
          <w:color w:val="000000"/>
        </w:rPr>
        <w:t>Durante el examen y en la corrección por parte del doce</w:t>
      </w:r>
      <w:r>
        <w:rPr>
          <w:rFonts w:ascii="Arial" w:eastAsia="Arial" w:hAnsi="Arial" w:cs="Arial"/>
          <w:noProof/>
          <w:color w:val="000000"/>
        </w:rPr>
        <w:t>nte, se aplicará el Reglamento de Evaluación Académica de UNIR que regula las consecuencias derivadas de las posibles irregularidades y prácticas académicas incorrectas con relación al plagio y uso inadecuado de materiales y recursos.</w:t>
      </w:r>
    </w:p>
    <w:p w14:paraId="1D921348" w14:textId="77777777" w:rsidR="00285FA2" w:rsidRDefault="00EC39A4">
      <w:pPr>
        <w:numPr>
          <w:ilvl w:val="0"/>
          <w:numId w:val="3"/>
        </w:numPr>
        <w:spacing w:afterAutospacing="1"/>
        <w:divId w:val="1"/>
        <w:rPr>
          <w:noProof/>
        </w:rPr>
      </w:pPr>
      <w:r>
        <w:rPr>
          <w:rFonts w:ascii="Arial" w:eastAsia="Arial" w:hAnsi="Arial" w:cs="Arial"/>
          <w:noProof/>
          <w:color w:val="000000"/>
        </w:rPr>
        <w:t xml:space="preserve">Se permite el uso de </w:t>
      </w:r>
      <w:r>
        <w:rPr>
          <w:rFonts w:ascii="Arial" w:eastAsia="Arial" w:hAnsi="Arial" w:cs="Arial"/>
          <w:noProof/>
          <w:color w:val="000000"/>
        </w:rPr>
        <w:t>calculadora NO PROGRAMABLE</w:t>
      </w:r>
    </w:p>
    <w:p w14:paraId="1D921349" w14:textId="77777777" w:rsidR="00285FA2" w:rsidRDefault="00EC39A4">
      <w:pPr>
        <w:rPr>
          <w:noProof/>
        </w:rPr>
      </w:pPr>
      <w:r>
        <w:rPr>
          <w:noProof/>
        </w:rPr>
        <w:br/>
      </w:r>
      <w:r>
        <w:rPr>
          <w:noProof/>
        </w:rPr>
        <w:br/>
      </w:r>
      <w:r>
        <w:rPr>
          <w:noProof/>
        </w:rPr>
        <w:br/>
      </w:r>
      <w:r>
        <w:rPr>
          <w:noProof/>
        </w:rPr>
        <w:br/>
      </w:r>
      <w:r>
        <w:rPr>
          <w:noProof/>
        </w:rPr>
        <w:lastRenderedPageBreak/>
        <w:br/>
      </w:r>
    </w:p>
    <w:p w14:paraId="1D92134A" w14:textId="77777777" w:rsidR="00285FA2" w:rsidRDefault="00EC39A4">
      <w:pPr>
        <w:spacing w:before="375" w:afterAutospacing="1"/>
        <w:jc w:val="center"/>
        <w:rPr>
          <w:rFonts w:ascii="Arial" w:eastAsia="Arial" w:hAnsi="Arial" w:cs="Arial"/>
          <w:b/>
          <w:noProof/>
          <w:color w:val="808080"/>
          <w:sz w:val="32"/>
        </w:rPr>
      </w:pPr>
      <w:r>
        <w:rPr>
          <w:rFonts w:ascii="Arial" w:eastAsia="Arial" w:hAnsi="Arial" w:cs="Arial"/>
          <w:b/>
          <w:noProof/>
          <w:color w:val="808080"/>
          <w:sz w:val="32"/>
        </w:rPr>
        <w:t>Puntuación</w:t>
      </w:r>
    </w:p>
    <w:p w14:paraId="1D92134B" w14:textId="77777777" w:rsidR="00285FA2" w:rsidRDefault="00EC39A4">
      <w:pPr>
        <w:rPr>
          <w:noProof/>
        </w:rPr>
      </w:pPr>
      <w:r>
        <w:rPr>
          <w:rFonts w:ascii="Arial" w:eastAsia="Arial" w:hAnsi="Arial" w:cs="Arial"/>
          <w:b/>
          <w:noProof/>
          <w:color w:val="000000"/>
        </w:rPr>
        <w:t>Pregunta 1</w:t>
      </w:r>
    </w:p>
    <w:p w14:paraId="1D92134C" w14:textId="77777777" w:rsidR="00285FA2" w:rsidRDefault="00EC39A4">
      <w:pPr>
        <w:numPr>
          <w:ilvl w:val="0"/>
          <w:numId w:val="4"/>
        </w:numPr>
        <w:spacing w:beforeAutospacing="1" w:afterAutospacing="1"/>
        <w:rPr>
          <w:noProof/>
        </w:rPr>
      </w:pPr>
      <w:r>
        <w:rPr>
          <w:rFonts w:ascii="Arial" w:eastAsia="Arial" w:hAnsi="Arial" w:cs="Arial"/>
          <w:noProof/>
          <w:color w:val="000000"/>
        </w:rPr>
        <w:t>Puntuación máxima 10.00 puntos</w:t>
      </w:r>
    </w:p>
    <w:p w14:paraId="1D92134D" w14:textId="77777777" w:rsidR="00285FA2" w:rsidRDefault="00EC39A4">
      <w:pPr>
        <w:rPr>
          <w:noProof/>
        </w:rPr>
      </w:pPr>
      <w:r>
        <w:rPr>
          <w:rFonts w:ascii="Arial" w:eastAsia="Arial" w:hAnsi="Arial" w:cs="Arial"/>
          <w:b/>
          <w:noProof/>
          <w:color w:val="000000"/>
        </w:rPr>
        <w:t>Pregunta 2</w:t>
      </w:r>
    </w:p>
    <w:p w14:paraId="1D92134E" w14:textId="77777777" w:rsidR="00285FA2" w:rsidRDefault="00EC39A4">
      <w:pPr>
        <w:numPr>
          <w:ilvl w:val="0"/>
          <w:numId w:val="5"/>
        </w:numPr>
        <w:spacing w:beforeAutospacing="1" w:afterAutospacing="1"/>
        <w:rPr>
          <w:noProof/>
        </w:rPr>
      </w:pPr>
      <w:r>
        <w:rPr>
          <w:rFonts w:ascii="Arial" w:eastAsia="Arial" w:hAnsi="Arial" w:cs="Arial"/>
          <w:noProof/>
          <w:color w:val="000000"/>
        </w:rPr>
        <w:t>Puntuación máxima 10.00 puntos</w:t>
      </w:r>
    </w:p>
    <w:p w14:paraId="1D92134F" w14:textId="77777777" w:rsidR="00285FA2" w:rsidRDefault="00EC39A4">
      <w:pPr>
        <w:rPr>
          <w:noProof/>
        </w:rPr>
      </w:pPr>
      <w:r>
        <w:rPr>
          <w:rFonts w:ascii="Arial" w:eastAsia="Arial" w:hAnsi="Arial" w:cs="Arial"/>
          <w:b/>
          <w:noProof/>
          <w:color w:val="000000"/>
        </w:rPr>
        <w:t>Pregunta 3</w:t>
      </w:r>
    </w:p>
    <w:p w14:paraId="1D921350" w14:textId="77777777" w:rsidR="00285FA2" w:rsidRDefault="00EC39A4">
      <w:pPr>
        <w:numPr>
          <w:ilvl w:val="0"/>
          <w:numId w:val="6"/>
        </w:numPr>
        <w:spacing w:beforeAutospacing="1" w:afterAutospacing="1"/>
        <w:rPr>
          <w:noProof/>
        </w:rPr>
      </w:pPr>
      <w:r>
        <w:rPr>
          <w:rFonts w:ascii="Arial" w:eastAsia="Arial" w:hAnsi="Arial" w:cs="Arial"/>
          <w:noProof/>
          <w:color w:val="000000"/>
        </w:rPr>
        <w:t>Puntuación máxima 10.00 puntos</w:t>
      </w:r>
    </w:p>
    <w:p w14:paraId="1D921351" w14:textId="77777777" w:rsidR="00285FA2" w:rsidRDefault="00EC39A4">
      <w:pPr>
        <w:rPr>
          <w:noProof/>
        </w:rPr>
      </w:pPr>
      <w:r>
        <w:rPr>
          <w:noProof/>
        </w:rPr>
        <w:br/>
      </w:r>
    </w:p>
    <w:p w14:paraId="1D921352" w14:textId="77777777" w:rsidR="00285FA2" w:rsidRDefault="00EC39A4">
      <w:pPr>
        <w:pStyle w:val="EstiloPreguntas"/>
        <w:divId w:val="1"/>
        <w:rPr>
          <w:noProof/>
        </w:rPr>
      </w:pPr>
      <w:r>
        <w:rPr>
          <w:noProof/>
        </w:rPr>
        <w:t> </w:t>
      </w:r>
      <w:r>
        <w:rPr>
          <w:noProof/>
        </w:rPr>
        <w:br/>
      </w:r>
      <w:r>
        <w:rPr>
          <w:noProof/>
        </w:rPr>
        <w:br/>
      </w:r>
      <w:r>
        <w:rPr>
          <w:b/>
          <w:noProof/>
        </w:rPr>
        <w:t xml:space="preserve">1. </w:t>
      </w:r>
      <w:r>
        <w:rPr>
          <w:rFonts w:ascii="Times New Roman, serif" w:eastAsia="Times New Roman, serif" w:hAnsi="Times New Roman, serif" w:cs="Times New Roman, serif"/>
          <w:noProof/>
          <w:sz w:val="27"/>
        </w:rPr>
        <w:t>(V / F con reforumulación verdadera C) </w:t>
      </w:r>
    </w:p>
    <w:p w14:paraId="1D921353" w14:textId="77777777" w:rsidR="00285FA2" w:rsidRDefault="00EC39A4">
      <w:pPr>
        <w:pStyle w:val="EstiloPreguntas"/>
        <w:divId w:val="2"/>
        <w:rPr>
          <w:noProof/>
        </w:rPr>
      </w:pPr>
      <w:r>
        <w:rPr>
          <w:rFonts w:ascii="Times New Roman, serif" w:eastAsia="Times New Roman, serif" w:hAnsi="Times New Roman, serif" w:cs="Times New Roman, serif"/>
          <w:noProof/>
          <w:sz w:val="27"/>
        </w:rPr>
        <w:t>Responde verdadero o falso las siguientes afirmaciones. En caso que sea falsa, reformúlala correctamente</w:t>
      </w:r>
    </w:p>
    <w:p w14:paraId="1D921354" w14:textId="77777777" w:rsidR="00285FA2" w:rsidRDefault="00EC39A4">
      <w:pPr>
        <w:pStyle w:val="EstiloPreguntas"/>
        <w:divId w:val="3"/>
        <w:rPr>
          <w:noProof/>
        </w:rPr>
      </w:pPr>
      <w:r>
        <w:rPr>
          <w:rFonts w:ascii="Times New Roman, serif" w:eastAsia="Times New Roman, serif" w:hAnsi="Times New Roman, serif" w:cs="Times New Roman, serif"/>
          <w:noProof/>
          <w:sz w:val="27"/>
        </w:rPr>
        <w:t>1. El propietario de una put es quien paga el precio de ejercicio.</w:t>
      </w:r>
    </w:p>
    <w:p w14:paraId="1D921355" w14:textId="77777777" w:rsidR="00285FA2" w:rsidRDefault="00EC39A4">
      <w:pPr>
        <w:pStyle w:val="EstiloPreguntas"/>
        <w:divId w:val="4"/>
        <w:rPr>
          <w:noProof/>
        </w:rPr>
      </w:pPr>
      <w:r>
        <w:rPr>
          <w:rFonts w:ascii="Times New Roman, serif" w:eastAsia="Times New Roman, serif" w:hAnsi="Times New Roman, serif" w:cs="Times New Roman, serif"/>
          <w:noProof/>
          <w:sz w:val="27"/>
        </w:rPr>
        <w:t>2. Una call option da derecho a comprar otro activo llamado subyacente a un precio preestablecido llamado precio de ejercicio o strike. </w:t>
      </w:r>
    </w:p>
    <w:p w14:paraId="1D921356" w14:textId="77777777" w:rsidR="00285FA2" w:rsidRDefault="00EC39A4">
      <w:pPr>
        <w:pStyle w:val="EstiloPreguntas"/>
        <w:divId w:val="5"/>
        <w:rPr>
          <w:noProof/>
        </w:rPr>
      </w:pPr>
      <w:r>
        <w:rPr>
          <w:rFonts w:ascii="Times New Roman, serif" w:eastAsia="Times New Roman, serif" w:hAnsi="Times New Roman, serif" w:cs="Times New Roman, serif"/>
          <w:noProof/>
          <w:sz w:val="27"/>
        </w:rPr>
        <w:t>3. Si el valor del mercado de un activo subyacente excede el precio de ejercicio, entonces decimos que una opción de ve</w:t>
      </w:r>
      <w:r>
        <w:rPr>
          <w:rFonts w:ascii="Times New Roman, serif" w:eastAsia="Times New Roman, serif" w:hAnsi="Times New Roman, serif" w:cs="Times New Roman, serif"/>
          <w:noProof/>
          <w:sz w:val="27"/>
        </w:rPr>
        <w:t>nta sobre dicho activo está “OTM” (Out of The Money). </w:t>
      </w:r>
    </w:p>
    <w:p w14:paraId="1D921357" w14:textId="77777777" w:rsidR="00285FA2" w:rsidRDefault="00EC39A4">
      <w:pPr>
        <w:pStyle w:val="EstiloPreguntas"/>
        <w:divId w:val="6"/>
        <w:rPr>
          <w:noProof/>
        </w:rPr>
      </w:pPr>
      <w:r>
        <w:rPr>
          <w:rFonts w:ascii="Times New Roman, serif" w:eastAsia="Times New Roman, serif" w:hAnsi="Times New Roman, serif" w:cs="Times New Roman, serif"/>
          <w:noProof/>
          <w:sz w:val="27"/>
        </w:rPr>
        <w:t>4. El inversor que está largo en una put tiene la opción de vender el subyacente al precio de ejercicio. </w:t>
      </w:r>
    </w:p>
    <w:p w14:paraId="1D921358" w14:textId="77777777" w:rsidR="00285FA2" w:rsidRDefault="00EC39A4">
      <w:pPr>
        <w:pStyle w:val="EstiloPreguntas"/>
        <w:divId w:val="7"/>
        <w:rPr>
          <w:noProof/>
        </w:rPr>
      </w:pPr>
      <w:r>
        <w:rPr>
          <w:rFonts w:ascii="Times New Roman, serif" w:eastAsia="Times New Roman, serif" w:hAnsi="Times New Roman, serif" w:cs="Times New Roman, serif"/>
          <w:noProof/>
          <w:sz w:val="27"/>
        </w:rPr>
        <w:t>5. El beneficio para quien está largo en una put disminuye cuando el precio del subyacente baja</w:t>
      </w:r>
      <w:r>
        <w:rPr>
          <w:rFonts w:ascii="Times New Roman, serif" w:eastAsia="Times New Roman, serif" w:hAnsi="Times New Roman, serif" w:cs="Times New Roman, serif"/>
          <w:noProof/>
          <w:sz w:val="27"/>
        </w:rPr>
        <w:t>. </w:t>
      </w:r>
    </w:p>
    <w:p w14:paraId="1D921359" w14:textId="77777777" w:rsidR="00285FA2" w:rsidRDefault="00285FA2">
      <w:pPr>
        <w:pStyle w:val="EstiloPreguntas"/>
        <w:divId w:val="8"/>
        <w:rPr>
          <w:noProof/>
        </w:rPr>
      </w:pPr>
    </w:p>
    <w:p w14:paraId="1D92135A" w14:textId="77777777" w:rsidR="00285FA2" w:rsidRDefault="00285FA2">
      <w:pPr>
        <w:pStyle w:val="EstiloPreguntas"/>
        <w:divId w:val="9"/>
        <w:rPr>
          <w:noProof/>
        </w:rPr>
      </w:pPr>
    </w:p>
    <w:p w14:paraId="1D92135B" w14:textId="77777777" w:rsidR="00285FA2" w:rsidRDefault="00EC39A4">
      <w:pPr>
        <w:pStyle w:val="EstiloPreguntas"/>
        <w:spacing w:beforeAutospacing="1" w:afterAutospacing="1" w:line="289" w:lineRule="atLeast"/>
        <w:divId w:val="1"/>
        <w:rPr>
          <w:noProof/>
        </w:rPr>
      </w:pPr>
      <w:r>
        <w:rPr>
          <w:rFonts w:ascii="&quot;Times New Roman&quot;, serif" w:eastAsia="&quot;Times New Roman&quot;, serif" w:hAnsi="&quot;Times New Roman&quot;, serif" w:cs="&quot;Times New Roman&quot;, serif"/>
          <w:noProof/>
          <w:sz w:val="27"/>
        </w:rPr>
        <w:t> </w:t>
      </w:r>
    </w:p>
    <w:p w14:paraId="1D92135C" w14:textId="77777777" w:rsidR="00285FA2" w:rsidRDefault="00285FA2">
      <w:pPr>
        <w:pStyle w:val="EstiloPreguntas"/>
        <w:spacing w:beforeAutospacing="1" w:afterAutospacing="1"/>
        <w:divId w:val="1"/>
        <w:rPr>
          <w:noProof/>
        </w:rPr>
      </w:pPr>
    </w:p>
    <w:p w14:paraId="1D92135D" w14:textId="77777777" w:rsidR="00285FA2" w:rsidRDefault="00EC39A4">
      <w:pPr>
        <w:pStyle w:val="EstiloPreguntas"/>
        <w:divId w:val="1"/>
        <w:rPr>
          <w:noProof/>
        </w:rPr>
      </w:pPr>
      <w:r>
        <w:rPr>
          <w:noProof/>
        </w:rPr>
        <w:t xml:space="preserve"> (Responder en 1 caras) </w:t>
      </w:r>
      <w:r>
        <w:rPr>
          <w:noProof/>
        </w:rPr>
        <w:br/>
      </w:r>
      <w:r>
        <w:rPr>
          <w:noProof/>
        </w:rPr>
        <w:br/>
        <w:t> </w:t>
      </w:r>
    </w:p>
    <w:p w14:paraId="1D92135E" w14:textId="77777777" w:rsidR="00285FA2" w:rsidRDefault="00EC39A4">
      <w:pPr>
        <w:pStyle w:val="EstiloPreguntas"/>
        <w:divId w:val="1"/>
        <w:rPr>
          <w:noProof/>
        </w:rPr>
      </w:pPr>
      <w:r>
        <w:rPr>
          <w:noProof/>
        </w:rPr>
        <w:br/>
      </w:r>
      <w:r>
        <w:rPr>
          <w:noProof/>
        </w:rPr>
        <w:br/>
      </w:r>
      <w:r>
        <w:rPr>
          <w:b/>
          <w:noProof/>
        </w:rPr>
        <w:t xml:space="preserve">1. </w:t>
      </w:r>
      <w:r>
        <w:rPr>
          <w:noProof/>
        </w:rPr>
        <w:t>(Árbol Biperiodo C) </w:t>
      </w:r>
    </w:p>
    <w:p w14:paraId="1D92135F" w14:textId="77777777" w:rsidR="00285FA2" w:rsidRDefault="00EC39A4">
      <w:pPr>
        <w:pStyle w:val="EstiloPreguntas"/>
        <w:spacing w:beforeAutospacing="1" w:afterAutospacing="1"/>
        <w:divId w:val="1"/>
        <w:rPr>
          <w:noProof/>
        </w:rPr>
      </w:pPr>
      <w:r>
        <w:rPr>
          <w:noProof/>
        </w:rPr>
        <w:t>El siguiente árbol representa la evolución semestral del precio de una acción (véase la Figura 1). Sobre este subyacente se emite una opción de venta europea (“put europea”). Sabiendo que el tip</w:t>
      </w:r>
      <w:r>
        <w:rPr>
          <w:noProof/>
        </w:rPr>
        <w:t>o de interés libre de riesgo es del 3% anual compuesto continuamente y su precio de ejercicio es 9 euros, respóndase a las siguientes cuestiones detallando los cálculos. </w:t>
      </w:r>
    </w:p>
    <w:p w14:paraId="1D921360" w14:textId="77777777" w:rsidR="00285FA2" w:rsidRDefault="00EC39A4">
      <w:pPr>
        <w:pStyle w:val="EstiloPreguntas"/>
        <w:spacing w:beforeAutospacing="1" w:afterAutospacing="1"/>
        <w:divId w:val="1"/>
        <w:rPr>
          <w:noProof/>
        </w:rPr>
      </w:pPr>
      <w:r>
        <w:rPr>
          <w:noProof/>
        </w:rPr>
        <w:pict w14:anchorId="1D921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25pt;height:188.25pt" o:bordertopcolor="this" o:borderleftcolor="this" o:borderbottomcolor="this" o:borderrightcolor="this">
            <v:imagedata r:id="rId7" o:title=""/>
          </v:shape>
        </w:pict>
      </w:r>
    </w:p>
    <w:p w14:paraId="1D921361" w14:textId="77777777" w:rsidR="00285FA2" w:rsidRDefault="00285FA2">
      <w:pPr>
        <w:pStyle w:val="EstiloPreguntas"/>
        <w:spacing w:beforeAutospacing="1" w:afterAutospacing="1"/>
        <w:divId w:val="1"/>
        <w:rPr>
          <w:noProof/>
        </w:rPr>
      </w:pPr>
    </w:p>
    <w:p w14:paraId="1D921362" w14:textId="77777777" w:rsidR="00285FA2" w:rsidRDefault="00EC39A4">
      <w:pPr>
        <w:pStyle w:val="EstiloPreguntas"/>
        <w:spacing w:beforeAutospacing="1" w:afterAutospacing="1"/>
        <w:divId w:val="1"/>
        <w:rPr>
          <w:noProof/>
        </w:rPr>
      </w:pPr>
      <w:r>
        <w:rPr>
          <w:noProof/>
        </w:rPr>
        <w:t>Figura 1</w:t>
      </w:r>
    </w:p>
    <w:p w14:paraId="1D921363" w14:textId="77777777" w:rsidR="00285FA2" w:rsidRDefault="00EC39A4">
      <w:pPr>
        <w:pStyle w:val="EstiloPreguntas"/>
        <w:spacing w:beforeAutospacing="1" w:afterAutospacing="1"/>
        <w:divId w:val="1"/>
        <w:rPr>
          <w:noProof/>
        </w:rPr>
      </w:pPr>
      <w:r>
        <w:rPr>
          <w:noProof/>
        </w:rPr>
        <w:t>a) Calcúlese la prima de la opción de call europea por iteración regresiv</w:t>
      </w:r>
      <w:r>
        <w:rPr>
          <w:noProof/>
        </w:rPr>
        <w:t>a paso a paso.</w:t>
      </w:r>
    </w:p>
    <w:p w14:paraId="1D921364" w14:textId="77777777" w:rsidR="00285FA2" w:rsidRDefault="00EC39A4">
      <w:pPr>
        <w:pStyle w:val="EstiloPreguntas"/>
        <w:spacing w:beforeAutospacing="1" w:afterAutospacing="1"/>
        <w:divId w:val="1"/>
        <w:rPr>
          <w:noProof/>
        </w:rPr>
      </w:pPr>
      <w:r>
        <w:rPr>
          <w:noProof/>
        </w:rPr>
        <w:t>b) Calcúlese la prima de la opción de call europea por una fórmula directa y compruébese que el resultado coincide con el obtenido en el paso anterior.</w:t>
      </w:r>
    </w:p>
    <w:p w14:paraId="1D921365" w14:textId="77777777" w:rsidR="00285FA2" w:rsidRDefault="00EC39A4">
      <w:pPr>
        <w:pStyle w:val="EstiloPreguntas"/>
        <w:spacing w:beforeAutospacing="1" w:afterAutospacing="1"/>
        <w:divId w:val="1"/>
        <w:rPr>
          <w:noProof/>
        </w:rPr>
      </w:pPr>
      <w:r>
        <w:rPr>
          <w:noProof/>
        </w:rPr>
        <w:t>c) Calcúlese la prima de la opción de venta usando la fórmula de paridad put-call.</w:t>
      </w:r>
    </w:p>
    <w:p w14:paraId="1D921366" w14:textId="77777777" w:rsidR="00285FA2" w:rsidRDefault="00EC39A4">
      <w:pPr>
        <w:pStyle w:val="EstiloPreguntas"/>
        <w:spacing w:beforeAutospacing="1" w:afterAutospacing="1"/>
        <w:divId w:val="1"/>
        <w:rPr>
          <w:noProof/>
        </w:rPr>
      </w:pPr>
      <w:r>
        <w:rPr>
          <w:noProof/>
        </w:rPr>
        <w:t xml:space="preserve">d) Describe con todo </w:t>
      </w:r>
      <w:r>
        <w:rPr>
          <w:noProof/>
        </w:rPr>
        <w:t>detalle una estrategia de cobertura para el caso en que se haya vendido la call y el subyacente siga el camino uu.</w:t>
      </w:r>
    </w:p>
    <w:p w14:paraId="1D921367" w14:textId="77777777" w:rsidR="00285FA2" w:rsidRDefault="00EC39A4">
      <w:pPr>
        <w:pStyle w:val="EstiloPreguntas"/>
        <w:spacing w:beforeAutospacing="1" w:afterAutospacing="1"/>
        <w:divId w:val="1"/>
        <w:rPr>
          <w:noProof/>
        </w:rPr>
      </w:pPr>
      <w:r>
        <w:rPr>
          <w:noProof/>
        </w:rPr>
        <w:t>Observación importante: Para que un ejercicio se puntúe con la máxima calificación deberán especificarse todos los razonamientos adecuadament</w:t>
      </w:r>
      <w:r>
        <w:rPr>
          <w:noProof/>
        </w:rPr>
        <w:t>e.</w:t>
      </w:r>
    </w:p>
    <w:p w14:paraId="1D921368" w14:textId="77777777" w:rsidR="00285FA2" w:rsidRDefault="00285FA2">
      <w:pPr>
        <w:pStyle w:val="EstiloPreguntas"/>
        <w:divId w:val="1"/>
        <w:rPr>
          <w:noProof/>
        </w:rPr>
      </w:pPr>
    </w:p>
    <w:p w14:paraId="1D921369" w14:textId="77777777" w:rsidR="00285FA2" w:rsidRDefault="00285FA2">
      <w:pPr>
        <w:pStyle w:val="EstiloPreguntas"/>
        <w:divId w:val="1"/>
        <w:rPr>
          <w:noProof/>
        </w:rPr>
      </w:pPr>
    </w:p>
    <w:p w14:paraId="1D92136A" w14:textId="77777777" w:rsidR="00285FA2" w:rsidRDefault="00EC39A4">
      <w:pPr>
        <w:pStyle w:val="EstiloPreguntas"/>
        <w:divId w:val="1"/>
        <w:rPr>
          <w:noProof/>
        </w:rPr>
      </w:pPr>
      <w:r>
        <w:rPr>
          <w:noProof/>
        </w:rPr>
        <w:t xml:space="preserve"> (Responder en 2 caras) </w:t>
      </w:r>
      <w:r>
        <w:rPr>
          <w:noProof/>
        </w:rPr>
        <w:br/>
      </w:r>
      <w:r>
        <w:rPr>
          <w:noProof/>
        </w:rPr>
        <w:br/>
      </w:r>
      <w:r>
        <w:rPr>
          <w:noProof/>
        </w:rPr>
        <w:br/>
      </w:r>
      <w:r>
        <w:rPr>
          <w:noProof/>
        </w:rPr>
        <w:br/>
      </w:r>
      <w:r>
        <w:rPr>
          <w:b/>
          <w:noProof/>
        </w:rPr>
        <w:t xml:space="preserve">1. </w:t>
      </w:r>
      <w:r>
        <w:rPr>
          <w:noProof/>
        </w:rPr>
        <w:t>(Carteras C) </w:t>
      </w:r>
    </w:p>
    <w:p w14:paraId="1D92136B" w14:textId="77777777" w:rsidR="00285FA2" w:rsidRDefault="00EC39A4">
      <w:pPr>
        <w:pStyle w:val="EstiloPreguntas"/>
        <w:divId w:val="12"/>
        <w:rPr>
          <w:noProof/>
        </w:rPr>
      </w:pPr>
      <w:r>
        <w:rPr>
          <w:noProof/>
        </w:rPr>
        <w:t xml:space="preserve">Consideremos una cartera formada con tres activos cuyos rendimientos medios esperados son: </w:t>
      </w:r>
      <w:r>
        <w:rPr>
          <w:noProof/>
        </w:rPr>
        <w:pict w14:anchorId="1D92136F">
          <v:shape id="_x0000_i1026" type="#_x0000_t75" style="width:14.25pt;height:13.5pt" o:bordertopcolor="this" o:borderleftcolor="this" o:borderbottomcolor="this" o:borderrightcolor="this">
            <v:imagedata r:id="rId8" o:title=""/>
          </v:shape>
        </w:pict>
      </w:r>
      <w:r>
        <w:rPr>
          <w:noProof/>
        </w:rPr>
        <w:t xml:space="preserve"> = 0.3, </w:t>
      </w:r>
      <w:r>
        <w:rPr>
          <w:noProof/>
        </w:rPr>
        <w:pict w14:anchorId="1D921370">
          <v:shape id="_x0000_i1027" type="#_x0000_t75" style="width:14.25pt;height:13.5pt" o:bordertopcolor="this" o:borderleftcolor="this" o:borderbottomcolor="this" o:borderrightcolor="this">
            <v:imagedata r:id="rId9" o:title=""/>
          </v:shape>
        </w:pict>
      </w:r>
      <w:r>
        <w:rPr>
          <w:noProof/>
        </w:rPr>
        <w:t xml:space="preserve"> = 0.2 y </w:t>
      </w:r>
      <w:r>
        <w:rPr>
          <w:noProof/>
        </w:rPr>
        <w:pict w14:anchorId="1D921371">
          <v:shape id="_x0000_i1028" type="#_x0000_t75" style="width:14.25pt;height:13.5pt" o:bordertopcolor="this" o:borderleftcolor="this" o:borderbottomcolor="this" o:borderrightcolor="this">
            <v:imagedata r:id="rId10" o:title=""/>
          </v:shape>
        </w:pict>
      </w:r>
      <w:r>
        <w:rPr>
          <w:noProof/>
        </w:rPr>
        <w:t xml:space="preserve"> = 0.3. Además, para estos rendimientos se conocen sus desviaciones típicas, </w:t>
      </w:r>
      <w:r>
        <w:rPr>
          <w:noProof/>
        </w:rPr>
        <w:pict w14:anchorId="1D921372">
          <v:shape id="_x0000_i1029" type="#_x0000_t75" style="width:15pt;height:13.5pt" o:bordertopcolor="this" o:borderleftcolor="this" o:borderbottomcolor="this" o:borderrightcolor="this">
            <v:imagedata r:id="rId11" o:title=""/>
          </v:shape>
        </w:pict>
      </w:r>
      <w:r>
        <w:rPr>
          <w:noProof/>
        </w:rPr>
        <w:t xml:space="preserve"> = 0.5, </w:t>
      </w:r>
      <w:r>
        <w:rPr>
          <w:noProof/>
        </w:rPr>
        <w:pict w14:anchorId="1D921373">
          <v:shape id="_x0000_i1030" type="#_x0000_t75" style="width:15pt;height:13.5pt" o:bordertopcolor="this" o:borderleftcolor="this" o:borderbottomcolor="this" o:borderrightcolor="this">
            <v:imagedata r:id="rId12" o:title=""/>
          </v:shape>
        </w:pict>
      </w:r>
      <w:r>
        <w:rPr>
          <w:noProof/>
        </w:rPr>
        <w:t xml:space="preserve"> = 0.2, </w:t>
      </w:r>
      <w:r>
        <w:rPr>
          <w:noProof/>
        </w:rPr>
        <w:pict w14:anchorId="1D921374">
          <v:shape id="_x0000_i1031" type="#_x0000_t75" style="width:15pt;height:13.5pt" o:bordertopcolor="this" o:borderleftcolor="this" o:borderbottomcolor="this" o:borderrightcolor="this">
            <v:imagedata r:id="rId13" o:title=""/>
          </v:shape>
        </w:pict>
      </w:r>
      <w:r>
        <w:rPr>
          <w:noProof/>
        </w:rPr>
        <w:t xml:space="preserve"> = 0.15 y sus coeficientes de correlación, </w:t>
      </w:r>
      <w:r>
        <w:rPr>
          <w:noProof/>
        </w:rPr>
        <w:pict w14:anchorId="1D921375">
          <v:shape id="_x0000_i1032" type="#_x0000_t75" style="width:20.25pt;height:13.5pt" o:bordertopcolor="this" o:borderleftcolor="this" o:borderbottomcolor="this" o:borderrightcolor="this">
            <v:imagedata r:id="rId14" o:title=""/>
          </v:shape>
        </w:pict>
      </w:r>
      <w:r>
        <w:rPr>
          <w:noProof/>
        </w:rPr>
        <w:t>=</w:t>
      </w:r>
      <w:r>
        <w:rPr>
          <w:noProof/>
        </w:rPr>
        <w:pict w14:anchorId="1D921376">
          <v:shape id="_x0000_i1033" type="#_x0000_t75" style="width:20.25pt;height:13.5pt" o:bordertopcolor="this" o:borderleftcolor="this" o:borderbottomcolor="this" o:borderrightcolor="this">
            <v:imagedata r:id="rId15" o:title=""/>
          </v:shape>
        </w:pict>
      </w:r>
      <w:r>
        <w:rPr>
          <w:noProof/>
        </w:rPr>
        <w:t xml:space="preserve">=0.15,  </w:t>
      </w:r>
      <w:r>
        <w:rPr>
          <w:noProof/>
        </w:rPr>
        <w:pict w14:anchorId="1D921377">
          <v:shape id="_x0000_i1034" type="#_x0000_t75" style="width:20.25pt;height:13.5pt" o:bordertopcolor="this" o:borderleftcolor="this" o:borderbottomcolor="this" o:borderrightcolor="this">
            <v:imagedata r:id="rId16" o:title=""/>
          </v:shape>
        </w:pict>
      </w:r>
      <w:r>
        <w:rPr>
          <w:noProof/>
        </w:rPr>
        <w:t>=</w:t>
      </w:r>
      <w:r>
        <w:rPr>
          <w:noProof/>
        </w:rPr>
        <w:pict w14:anchorId="1D921378">
          <v:shape id="_x0000_i1035" type="#_x0000_t75" style="width:20.25pt;height:13.5pt" o:bordertopcolor="this" o:borderleftcolor="this" o:borderbottomcolor="this" o:borderrightcolor="this">
            <v:imagedata r:id="rId17" o:title=""/>
          </v:shape>
        </w:pict>
      </w:r>
      <w:r>
        <w:rPr>
          <w:noProof/>
        </w:rPr>
        <w:t xml:space="preserve">=0.1, </w:t>
      </w:r>
      <w:r>
        <w:rPr>
          <w:noProof/>
        </w:rPr>
        <w:pict w14:anchorId="1D921379">
          <v:shape id="_x0000_i1036" type="#_x0000_t75" style="width:20.25pt;height:13.5pt" o:bordertopcolor="this" o:borderleftcolor="this" o:borderbottomcolor="this" o:borderrightcolor="this">
            <v:imagedata r:id="rId18" o:title=""/>
          </v:shape>
        </w:pict>
      </w:r>
      <w:r>
        <w:rPr>
          <w:noProof/>
        </w:rPr>
        <w:t>=</w:t>
      </w:r>
      <w:r>
        <w:rPr>
          <w:noProof/>
        </w:rPr>
        <w:pict w14:anchorId="1D92137A">
          <v:shape id="_x0000_i1037" type="#_x0000_t75" style="width:20.25pt;height:13.5pt" o:bordertopcolor="this" o:borderleftcolor="this" o:borderbottomcolor="this" o:borderrightcolor="this">
            <v:imagedata r:id="rId19" o:title=""/>
          </v:shape>
        </w:pict>
      </w:r>
      <w:r>
        <w:rPr>
          <w:noProof/>
        </w:rPr>
        <w:t>=0.05.</w:t>
      </w:r>
    </w:p>
    <w:p w14:paraId="1D92136C" w14:textId="77777777" w:rsidR="00285FA2" w:rsidRDefault="00EC39A4">
      <w:pPr>
        <w:pStyle w:val="EstiloPreguntas"/>
        <w:divId w:val="13"/>
        <w:rPr>
          <w:noProof/>
        </w:rPr>
      </w:pPr>
      <w:r>
        <w:rPr>
          <w:noProof/>
        </w:rPr>
        <w:t>Calcular el rendimiento esperado para una cartera de riesgo mínimo y el valor de este riesgo mínimo</w:t>
      </w:r>
    </w:p>
    <w:p w14:paraId="1D92136D" w14:textId="77777777" w:rsidR="00285FA2" w:rsidRDefault="00EC39A4">
      <w:pPr>
        <w:pStyle w:val="EstiloPreguntas"/>
        <w:divId w:val="1"/>
        <w:rPr>
          <w:noProof/>
        </w:rPr>
      </w:pPr>
      <w:r>
        <w:rPr>
          <w:noProof/>
        </w:rPr>
        <w:t xml:space="preserve"> (Responder en 3 caras) </w:t>
      </w:r>
      <w:r>
        <w:rPr>
          <w:noProof/>
        </w:rPr>
        <w:br/>
      </w:r>
    </w:p>
    <w:sectPr w:rsidR="00285FA2">
      <w:footerReference w:type="default" r:id="rId20"/>
      <w:pgSz w:w="11907" w:h="16839"/>
      <w:pgMar w:top="567" w:right="567" w:bottom="567" w:left="1134" w:header="720"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21381" w14:textId="77777777" w:rsidR="00000000" w:rsidRDefault="00EC39A4">
      <w:r>
        <w:separator/>
      </w:r>
    </w:p>
  </w:endnote>
  <w:endnote w:type="continuationSeparator" w:id="0">
    <w:p w14:paraId="1D921383" w14:textId="77777777" w:rsidR="00000000" w:rsidRDefault="00EC3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serif">
    <w:panose1 w:val="00000000000000000000"/>
    <w:charset w:val="00"/>
    <w:family w:val="roman"/>
    <w:notTrueType/>
    <w:pitch w:val="default"/>
  </w:font>
  <w:font w:name="&quot;Times New Roman&quot;, serif">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2137B" w14:textId="77777777" w:rsidR="00285FA2" w:rsidRDefault="00EC39A4">
    <w:pPr>
      <w:pStyle w:val="EstiloPie"/>
    </w:pPr>
    <w:r>
      <w:pict w14:anchorId="1D92137D">
        <v:rect id="_x0000_i1038" style="width:0;height:0" o:hralign="center" o:bordertopcolor="this" o:borderleftcolor="this" o:borderbottomcolor="this" o:borderrightcolor="this" o:hrstd="t" o:hr="t" fillcolor="gray" stroked="f"/>
      </w:pict>
    </w:r>
  </w:p>
  <w:p w14:paraId="1D92137C" w14:textId="77777777" w:rsidR="00285FA2" w:rsidRDefault="00EC39A4">
    <w:pPr>
      <w:pStyle w:val="EstiloPie"/>
      <w:spacing w:beforeAutospacing="1" w:afterAutospacing="1"/>
    </w:pPr>
    <w:r>
      <w:t>Código de examen: 10091974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2137D" w14:textId="77777777" w:rsidR="00000000" w:rsidRDefault="00EC39A4">
      <w:r>
        <w:separator/>
      </w:r>
    </w:p>
  </w:footnote>
  <w:footnote w:type="continuationSeparator" w:id="0">
    <w:p w14:paraId="1D92137F" w14:textId="77777777" w:rsidR="00000000" w:rsidRDefault="00EC39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30E7"/>
    <w:multiLevelType w:val="multilevel"/>
    <w:tmpl w:val="75E436A0"/>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2E0777AC"/>
    <w:multiLevelType w:val="multilevel"/>
    <w:tmpl w:val="CADE436A"/>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 w15:restartNumberingAfterBreak="0">
    <w:nsid w:val="39EF4940"/>
    <w:multiLevelType w:val="multilevel"/>
    <w:tmpl w:val="C8D06568"/>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536F0F30"/>
    <w:multiLevelType w:val="multilevel"/>
    <w:tmpl w:val="AE5EFFE8"/>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5EED7E7F"/>
    <w:multiLevelType w:val="multilevel"/>
    <w:tmpl w:val="20E2BE84"/>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7B7B7876"/>
    <w:multiLevelType w:val="multilevel"/>
    <w:tmpl w:val="378A355C"/>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16cid:durableId="718013759">
    <w:abstractNumId w:val="0"/>
  </w:num>
  <w:num w:numId="2" w16cid:durableId="1888255201">
    <w:abstractNumId w:val="4"/>
  </w:num>
  <w:num w:numId="3" w16cid:durableId="1458795598">
    <w:abstractNumId w:val="1"/>
  </w:num>
  <w:num w:numId="4" w16cid:durableId="1040940409">
    <w:abstractNumId w:val="3"/>
  </w:num>
  <w:num w:numId="5" w16cid:durableId="984050165">
    <w:abstractNumId w:val="5"/>
  </w:num>
  <w:num w:numId="6" w16cid:durableId="17080194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ocumentProtection w:edit="trackedChange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LeaveBackslashAlone/>
    <w:doNotExpandShiftReturn/>
    <w:adjustLineHeightInTable/>
    <w:compatSetting w:name="compatibilityMode" w:uri="http://schemas.microsoft.com/office/word" w:val="12"/>
    <w:compatSetting w:name="useWord2013TrackBottomHyphenation" w:uri="http://schemas.microsoft.com/office/word" w:val="1"/>
  </w:compat>
  <w:rsids>
    <w:rsidRoot w:val="00285FA2"/>
    <w:rsid w:val="00285FA2"/>
    <w:rsid w:val="00EC39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92131C"/>
  <w15:docId w15:val="{6AABC45C-D8B3-4F9C-A527-4CEE3F13A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uk-U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pireTableThStyle112d6b0b-020d-4024-ba7e-91f4d0d2734b">
    <w:name w:val="SpireTableThStyle112d6b0b-020d-4024-ba7e-91f4d0d2734b"/>
    <w:basedOn w:val="Normal"/>
    <w:qFormat/>
    <w:pPr>
      <w:jc w:val="center"/>
    </w:pPr>
    <w:rPr>
      <w:b/>
    </w:rPr>
  </w:style>
  <w:style w:type="paragraph" w:customStyle="1" w:styleId="SpireTableThStyle9c54339f-efe8-4d60-800e-a0e82cfd745a">
    <w:name w:val="SpireTableThStyle9c54339f-efe8-4d60-800e-a0e82cfd745a"/>
    <w:basedOn w:val="Normal"/>
    <w:qFormat/>
    <w:pPr>
      <w:jc w:val="center"/>
    </w:pPr>
    <w:rPr>
      <w:b/>
    </w:rPr>
  </w:style>
  <w:style w:type="paragraph" w:customStyle="1" w:styleId="SpireTableThStylebe912075-118e-49fc-b9b1-5cfcdd11a37a">
    <w:name w:val="SpireTableThStylebe912075-118e-49fc-b9b1-5cfcdd11a37a"/>
    <w:basedOn w:val="Normal"/>
    <w:qFormat/>
    <w:pPr>
      <w:jc w:val="center"/>
    </w:pPr>
    <w:rPr>
      <w:b/>
    </w:rPr>
  </w:style>
  <w:style w:type="paragraph" w:customStyle="1" w:styleId="SpireTableThStyle47addfac-b14d-41e9-b3f0-7db419484846">
    <w:name w:val="SpireTableThStyle47addfac-b14d-41e9-b3f0-7db419484846"/>
    <w:basedOn w:val="Normal"/>
    <w:qFormat/>
    <w:pPr>
      <w:jc w:val="center"/>
    </w:pPr>
    <w:rPr>
      <w:b/>
    </w:rPr>
  </w:style>
  <w:style w:type="paragraph" w:customStyle="1" w:styleId="SpireTableThStyle37aca7da-44a5-47dd-8b44-51d6ca66fbfc">
    <w:name w:val="SpireTableThStyle37aca7da-44a5-47dd-8b44-51d6ca66fbfc"/>
    <w:basedOn w:val="Normal"/>
    <w:qFormat/>
    <w:pPr>
      <w:jc w:val="center"/>
    </w:pPr>
    <w:rPr>
      <w:b/>
    </w:rPr>
  </w:style>
  <w:style w:type="paragraph" w:customStyle="1" w:styleId="SpireTableThStyleba569040-e3fb-4723-8ccf-5db8021bbdd5">
    <w:name w:val="SpireTableThStyleba569040-e3fb-4723-8ccf-5db8021bbdd5"/>
    <w:basedOn w:val="Normal"/>
    <w:qFormat/>
    <w:pPr>
      <w:jc w:val="center"/>
    </w:pPr>
    <w:rPr>
      <w:b/>
    </w:rPr>
  </w:style>
  <w:style w:type="paragraph" w:customStyle="1" w:styleId="SpireTableThStyle0d95ed23-01cd-41d3-8580-89f70edd0235">
    <w:name w:val="SpireTableThStyle0d95ed23-01cd-41d3-8580-89f70edd0235"/>
    <w:basedOn w:val="Normal"/>
    <w:qFormat/>
    <w:pPr>
      <w:jc w:val="center"/>
    </w:pPr>
    <w:rPr>
      <w:b/>
    </w:rPr>
  </w:style>
  <w:style w:type="paragraph" w:customStyle="1" w:styleId="SpireTableThStyle8aae5065-dd42-4b57-8f4c-3b4025b4f184">
    <w:name w:val="SpireTableThStyle8aae5065-dd42-4b57-8f4c-3b4025b4f184"/>
    <w:basedOn w:val="Normal"/>
    <w:qFormat/>
    <w:pPr>
      <w:jc w:val="center"/>
    </w:pPr>
    <w:rPr>
      <w:b/>
    </w:rPr>
  </w:style>
  <w:style w:type="paragraph" w:customStyle="1" w:styleId="SpireTableThStyle84c16e16-8231-47a4-a6c5-86252ddbde42">
    <w:name w:val="SpireTableThStyle84c16e16-8231-47a4-a6c5-86252ddbde42"/>
    <w:basedOn w:val="Normal"/>
    <w:qFormat/>
    <w:pPr>
      <w:jc w:val="center"/>
    </w:pPr>
    <w:rPr>
      <w:b/>
    </w:rPr>
  </w:style>
  <w:style w:type="paragraph" w:customStyle="1" w:styleId="EstiloPreguntas">
    <w:name w:val="EstiloPreguntas"/>
    <w:basedOn w:val="Normal"/>
    <w:qFormat/>
    <w:rPr>
      <w:rFonts w:ascii="Arial" w:eastAsia="Arial" w:hAnsi="Arial" w:cs="Arial"/>
      <w:color w:val="000000"/>
    </w:rPr>
  </w:style>
  <w:style w:type="paragraph" w:customStyle="1" w:styleId="EstiloPie">
    <w:name w:val="EstiloPie"/>
    <w:basedOn w:val="Normal"/>
    <w:qFormat/>
    <w:rPr>
      <w:rFonts w:ascii="Arial" w:eastAsia="Arial" w:hAnsi="Arial" w:cs="Arial"/>
      <w:color w:val="000000"/>
    </w:rPr>
  </w:style>
  <w:style w:type="table" w:styleId="Tablaconcuadrcula">
    <w:name w:val="Table Grid"/>
    <w:basedOn w:val="Tabla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815076314">
      <w:marLeft w:val="0"/>
      <w:marRight w:val="0"/>
      <w:marTop w:val="-20"/>
      <w:marBottom w:val="-20"/>
      <w:divBdr>
        <w:top w:val="none" w:sz="0" w:space="0" w:color="auto"/>
        <w:left w:val="none" w:sz="0" w:space="0" w:color="auto"/>
        <w:bottom w:val="none" w:sz="0" w:space="0" w:color="auto"/>
        <w:right w:val="none" w:sz="0" w:space="0" w:color="auto"/>
      </w:divBdr>
      <w:divsChild>
        <w:div w:id="2">
          <w:marLeft w:val="0"/>
          <w:marRight w:val="0"/>
          <w:marTop w:val="-20"/>
          <w:marBottom w:val="-20"/>
          <w:divBdr>
            <w:top w:val="none" w:sz="0" w:space="0" w:color="auto"/>
            <w:left w:val="none" w:sz="0" w:space="0" w:color="auto"/>
            <w:bottom w:val="none" w:sz="0" w:space="0" w:color="auto"/>
            <w:right w:val="none" w:sz="0" w:space="0" w:color="auto"/>
          </w:divBdr>
        </w:div>
        <w:div w:id="3">
          <w:marLeft w:val="0"/>
          <w:marRight w:val="0"/>
          <w:marTop w:val="-20"/>
          <w:marBottom w:val="-20"/>
          <w:divBdr>
            <w:top w:val="none" w:sz="0" w:space="0" w:color="auto"/>
            <w:left w:val="none" w:sz="0" w:space="0" w:color="auto"/>
            <w:bottom w:val="none" w:sz="0" w:space="0" w:color="auto"/>
            <w:right w:val="none" w:sz="0" w:space="0" w:color="auto"/>
          </w:divBdr>
        </w:div>
        <w:div w:id="4">
          <w:marLeft w:val="0"/>
          <w:marRight w:val="0"/>
          <w:marTop w:val="-20"/>
          <w:marBottom w:val="-20"/>
          <w:divBdr>
            <w:top w:val="none" w:sz="0" w:space="0" w:color="auto"/>
            <w:left w:val="none" w:sz="0" w:space="0" w:color="auto"/>
            <w:bottom w:val="none" w:sz="0" w:space="0" w:color="auto"/>
            <w:right w:val="none" w:sz="0" w:space="0" w:color="auto"/>
          </w:divBdr>
        </w:div>
        <w:div w:id="5">
          <w:marLeft w:val="0"/>
          <w:marRight w:val="0"/>
          <w:marTop w:val="-20"/>
          <w:marBottom w:val="-20"/>
          <w:divBdr>
            <w:top w:val="none" w:sz="0" w:space="0" w:color="auto"/>
            <w:left w:val="none" w:sz="0" w:space="0" w:color="auto"/>
            <w:bottom w:val="none" w:sz="0" w:space="0" w:color="auto"/>
            <w:right w:val="none" w:sz="0" w:space="0" w:color="auto"/>
          </w:divBdr>
        </w:div>
        <w:div w:id="6">
          <w:marLeft w:val="0"/>
          <w:marRight w:val="0"/>
          <w:marTop w:val="-20"/>
          <w:marBottom w:val="-20"/>
          <w:divBdr>
            <w:top w:val="none" w:sz="0" w:space="0" w:color="auto"/>
            <w:left w:val="none" w:sz="0" w:space="0" w:color="auto"/>
            <w:bottom w:val="none" w:sz="0" w:space="0" w:color="auto"/>
            <w:right w:val="none" w:sz="0" w:space="0" w:color="auto"/>
          </w:divBdr>
        </w:div>
        <w:div w:id="7">
          <w:marLeft w:val="0"/>
          <w:marRight w:val="0"/>
          <w:marTop w:val="-20"/>
          <w:marBottom w:val="-20"/>
          <w:divBdr>
            <w:top w:val="none" w:sz="0" w:space="0" w:color="auto"/>
            <w:left w:val="none" w:sz="0" w:space="0" w:color="auto"/>
            <w:bottom w:val="none" w:sz="0" w:space="0" w:color="auto"/>
            <w:right w:val="none" w:sz="0" w:space="0" w:color="auto"/>
          </w:divBdr>
        </w:div>
        <w:div w:id="8">
          <w:marLeft w:val="0"/>
          <w:marRight w:val="0"/>
          <w:marTop w:val="-20"/>
          <w:marBottom w:val="-20"/>
          <w:divBdr>
            <w:top w:val="none" w:sz="0" w:space="0" w:color="auto"/>
            <w:left w:val="none" w:sz="0" w:space="0" w:color="auto"/>
            <w:bottom w:val="none" w:sz="0" w:space="0" w:color="auto"/>
            <w:right w:val="none" w:sz="0" w:space="0" w:color="auto"/>
          </w:divBdr>
        </w:div>
        <w:div w:id="9">
          <w:marLeft w:val="0"/>
          <w:marRight w:val="0"/>
          <w:marTop w:val="-20"/>
          <w:marBottom w:val="-20"/>
          <w:divBdr>
            <w:top w:val="none" w:sz="0" w:space="0" w:color="auto"/>
            <w:left w:val="none" w:sz="0" w:space="0" w:color="auto"/>
            <w:bottom w:val="none" w:sz="0" w:space="0" w:color="auto"/>
            <w:right w:val="none" w:sz="0" w:space="0" w:color="auto"/>
          </w:divBdr>
        </w:div>
        <w:div w:id="10">
          <w:marLeft w:val="0"/>
          <w:marRight w:val="0"/>
          <w:marTop w:val="-20"/>
          <w:marBottom w:val="-20"/>
          <w:divBdr>
            <w:top w:val="none" w:sz="0" w:space="0" w:color="auto"/>
            <w:left w:val="none" w:sz="0" w:space="0" w:color="auto"/>
            <w:bottom w:val="none" w:sz="0" w:space="0" w:color="auto"/>
            <w:right w:val="none" w:sz="0" w:space="0" w:color="auto"/>
          </w:divBdr>
          <w:divsChild>
            <w:div w:id="11">
              <w:marLeft w:val="0"/>
              <w:marRight w:val="0"/>
              <w:marTop w:val="-20"/>
              <w:marBottom w:val="-20"/>
              <w:divBdr>
                <w:top w:val="none" w:sz="0" w:space="0" w:color="auto"/>
                <w:left w:val="none" w:sz="0" w:space="0" w:color="auto"/>
                <w:bottom w:val="none" w:sz="0" w:space="0" w:color="auto"/>
                <w:right w:val="none" w:sz="0" w:space="0" w:color="auto"/>
              </w:divBdr>
            </w:div>
          </w:divsChild>
        </w:div>
        <w:div w:id="12">
          <w:marLeft w:val="0"/>
          <w:marRight w:val="0"/>
          <w:marTop w:val="-20"/>
          <w:marBottom w:val="-20"/>
          <w:divBdr>
            <w:top w:val="none" w:sz="0" w:space="0" w:color="auto"/>
            <w:left w:val="none" w:sz="0" w:space="0" w:color="auto"/>
            <w:bottom w:val="none" w:sz="0" w:space="0" w:color="auto"/>
            <w:right w:val="none" w:sz="0" w:space="0" w:color="auto"/>
          </w:divBdr>
        </w:div>
        <w:div w:id="13">
          <w:marLeft w:val="0"/>
          <w:marRight w:val="0"/>
          <w:marTop w:val="-20"/>
          <w:marBottom w:val="-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624</Words>
  <Characters>3432</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Miryam González González</cp:lastModifiedBy>
  <cp:revision>1</cp:revision>
  <dcterms:created xsi:type="dcterms:W3CDTF">2022-06-08T15:42:00Z</dcterms:created>
  <dcterms:modified xsi:type="dcterms:W3CDTF">2022-06-13T08:28:00Z</dcterms:modified>
</cp:coreProperties>
</file>