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123420" w:rsidRDefault="00123420" w:rsidP="00123420">
      <w:pPr>
        <w:pStyle w:val="TtuloApartado1sinnivel"/>
        <w:rPr>
          <w:sz w:val="24"/>
        </w:rPr>
      </w:pPr>
      <w:bookmarkStart w:id="0" w:name="_Toc459888455"/>
    </w:p>
    <w:p w14:paraId="4A0D1AB5" w14:textId="793C7072" w:rsidR="0073675D" w:rsidRDefault="0073675D" w:rsidP="0073675D">
      <w:pPr>
        <w:pStyle w:val="TtuloApartado1sinnivel"/>
      </w:pPr>
      <w:r>
        <w:t>Laboratorio</w:t>
      </w:r>
      <w:r w:rsidRPr="00DA0A34">
        <w:t xml:space="preserve">: </w:t>
      </w:r>
      <w:r w:rsidR="00A73246">
        <w:t>El monorraíl</w:t>
      </w:r>
    </w:p>
    <w:p w14:paraId="73C6606D" w14:textId="77777777" w:rsidR="0073675D" w:rsidRDefault="0073675D" w:rsidP="0073675D">
      <w:pPr>
        <w:jc w:val="left"/>
        <w:rPr>
          <w:rFonts w:cs="UnitOT-Light"/>
          <w:szCs w:val="22"/>
        </w:rPr>
      </w:pPr>
    </w:p>
    <w:p w14:paraId="3E59C367" w14:textId="14BE45C3" w:rsidR="001F5B9D" w:rsidRDefault="0073675D" w:rsidP="005374E7">
      <w:r w:rsidRPr="005374E7">
        <w:rPr>
          <w:b/>
        </w:rPr>
        <w:t>Objetivos</w:t>
      </w:r>
      <w:r>
        <w:t xml:space="preserve"> </w:t>
      </w:r>
    </w:p>
    <w:p w14:paraId="13F17692" w14:textId="77777777" w:rsidR="005374E7" w:rsidRDefault="005374E7" w:rsidP="005374E7"/>
    <w:p w14:paraId="7FFC4739" w14:textId="605C1390" w:rsidR="0073675D" w:rsidRDefault="001F5B9D" w:rsidP="001F5B9D">
      <w:r>
        <w:t xml:space="preserve">En esta actividad vas a conseguir poner en práctica aquellas cuestiones relacionadas con las diferentes técnicas de interpolación que hemos trabajado. </w:t>
      </w:r>
    </w:p>
    <w:p w14:paraId="47676F9A" w14:textId="77777777" w:rsidR="001F5B9D" w:rsidRDefault="001F5B9D" w:rsidP="001F5B9D"/>
    <w:p w14:paraId="0C455DB5" w14:textId="6286F931" w:rsidR="0073675D" w:rsidRDefault="0073675D" w:rsidP="005374E7">
      <w:r w:rsidRPr="005374E7">
        <w:rPr>
          <w:b/>
        </w:rPr>
        <w:t>Descripción</w:t>
      </w:r>
      <w:r>
        <w:t xml:space="preserve"> </w:t>
      </w:r>
    </w:p>
    <w:p w14:paraId="1659F951" w14:textId="77777777" w:rsidR="005374E7" w:rsidRDefault="005374E7" w:rsidP="005374E7"/>
    <w:p w14:paraId="249B2E37" w14:textId="6F12C535" w:rsidR="00A73246" w:rsidRDefault="00A73246" w:rsidP="00A73246">
      <w:r>
        <w:t>En la ciudad de Springfield se va a instalar un monorraíl. Tras una extensa votación entre los ciudadanos, se ha decidido que debe tener paradas en los lugares marcados en la Figura 1, cuya ubicación se refleja en la Tabla 1.</w:t>
      </w:r>
    </w:p>
    <w:p w14:paraId="3E247E7C" w14:textId="77777777" w:rsidR="005374E7" w:rsidRDefault="005374E7" w:rsidP="00A73246"/>
    <w:p w14:paraId="4C704DC8" w14:textId="77777777" w:rsidR="00A73246" w:rsidRDefault="00A73246" w:rsidP="00A73246">
      <w:pPr>
        <w:rPr>
          <w:color w:val="595959" w:themeColor="text1" w:themeTint="A6"/>
          <w:sz w:val="19"/>
          <w:szCs w:val="19"/>
        </w:rPr>
      </w:pPr>
      <w:r>
        <w:rPr>
          <w:noProof/>
        </w:rPr>
        <w:drawing>
          <wp:inline distT="0" distB="0" distL="0" distR="0" wp14:anchorId="6D85FEEB" wp14:editId="4891788E">
            <wp:extent cx="5219700" cy="3425825"/>
            <wp:effectExtent l="0" t="0" r="0" b="317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3425825"/>
                    </a:xfrm>
                    <a:prstGeom prst="rect">
                      <a:avLst/>
                    </a:prstGeom>
                  </pic:spPr>
                </pic:pic>
              </a:graphicData>
            </a:graphic>
          </wp:inline>
        </w:drawing>
      </w:r>
    </w:p>
    <w:p w14:paraId="2E4A254E" w14:textId="1F7F7C95" w:rsidR="00A73246" w:rsidRDefault="00A73246" w:rsidP="005374E7">
      <w:pPr>
        <w:spacing w:before="120" w:line="276" w:lineRule="auto"/>
        <w:jc w:val="center"/>
        <w:rPr>
          <w:sz w:val="19"/>
          <w:szCs w:val="19"/>
        </w:rPr>
      </w:pPr>
      <w:r w:rsidRPr="005374E7">
        <w:rPr>
          <w:rFonts w:cs="UnitOT-Light"/>
          <w:iCs/>
          <w:color w:val="595959" w:themeColor="text1" w:themeTint="A6"/>
          <w:sz w:val="19"/>
          <w:szCs w:val="18"/>
        </w:rPr>
        <w:t xml:space="preserve">Figura 1. Perfil de Springfield y lugares en los que tendrá parada el monorraíl. Fuente: </w:t>
      </w:r>
      <w:r w:rsidR="005374E7">
        <w:rPr>
          <w:rFonts w:cs="UnitOT-Light"/>
          <w:iCs/>
          <w:color w:val="595959" w:themeColor="text1" w:themeTint="A6"/>
          <w:sz w:val="19"/>
          <w:szCs w:val="18"/>
        </w:rPr>
        <w:t>elaboración</w:t>
      </w:r>
      <w:r w:rsidRPr="005374E7">
        <w:rPr>
          <w:rFonts w:cs="UnitOT-Light"/>
          <w:iCs/>
          <w:color w:val="595959" w:themeColor="text1" w:themeTint="A6"/>
          <w:sz w:val="19"/>
          <w:szCs w:val="18"/>
        </w:rPr>
        <w:t xml:space="preserve"> propia</w:t>
      </w:r>
      <w:r w:rsidR="005374E7">
        <w:rPr>
          <w:rFonts w:cs="UnitOT-Light"/>
          <w:iCs/>
          <w:color w:val="595959" w:themeColor="text1" w:themeTint="A6"/>
          <w:sz w:val="19"/>
          <w:szCs w:val="18"/>
        </w:rPr>
        <w:t xml:space="preserve"> </w:t>
      </w:r>
      <w:r w:rsidRPr="005374E7">
        <w:rPr>
          <w:rFonts w:cs="UnitOT-Light"/>
          <w:iCs/>
          <w:color w:val="595959" w:themeColor="text1" w:themeTint="A6"/>
          <w:sz w:val="19"/>
          <w:szCs w:val="18"/>
        </w:rPr>
        <w:t>con imágenes de</w:t>
      </w:r>
      <w:r w:rsidRPr="00A73246">
        <w:rPr>
          <w:color w:val="595959" w:themeColor="text1" w:themeTint="A6"/>
          <w:sz w:val="19"/>
          <w:szCs w:val="19"/>
        </w:rPr>
        <w:t xml:space="preserve"> </w:t>
      </w:r>
      <w:hyperlink r:id="rId9" w:history="1">
        <w:r w:rsidR="005374E7" w:rsidRPr="00925C99">
          <w:rPr>
            <w:rStyle w:val="Hipervnculo"/>
            <w:sz w:val="19"/>
            <w:szCs w:val="19"/>
          </w:rPr>
          <w:t>https://simpsons.fandom.com</w:t>
        </w:r>
      </w:hyperlink>
    </w:p>
    <w:p w14:paraId="75F9C728" w14:textId="77777777" w:rsidR="005374E7" w:rsidRPr="00A73246" w:rsidRDefault="005374E7" w:rsidP="00195AB8">
      <w:pPr>
        <w:rPr>
          <w:color w:val="595959" w:themeColor="text1" w:themeTint="A6"/>
          <w:sz w:val="19"/>
          <w:szCs w:val="19"/>
        </w:rPr>
      </w:pPr>
    </w:p>
    <w:p w14:paraId="2BFBBDE8" w14:textId="77777777" w:rsidR="00A73246" w:rsidRPr="00A73246" w:rsidRDefault="00A73246" w:rsidP="00A73246">
      <w:pPr>
        <w:pStyle w:val="Prrafodelista"/>
        <w:ind w:left="360"/>
        <w:jc w:val="center"/>
        <w:rPr>
          <w:color w:val="595959" w:themeColor="text1" w:themeTint="A6"/>
          <w:sz w:val="19"/>
          <w:szCs w:val="19"/>
        </w:rPr>
      </w:pPr>
    </w:p>
    <w:tbl>
      <w:tblPr>
        <w:tblStyle w:val="Tablaconcuadrcula"/>
        <w:tblW w:w="0" w:type="auto"/>
        <w:jc w:val="center"/>
        <w:tblLook w:val="04A0" w:firstRow="1" w:lastRow="0" w:firstColumn="1" w:lastColumn="0" w:noHBand="0" w:noVBand="1"/>
      </w:tblPr>
      <w:tblGrid>
        <w:gridCol w:w="2658"/>
        <w:gridCol w:w="1650"/>
        <w:gridCol w:w="1650"/>
      </w:tblGrid>
      <w:tr w:rsidR="00A73246" w:rsidRPr="00A24FD0" w14:paraId="644C3AB2" w14:textId="77777777" w:rsidTr="00A73246">
        <w:trPr>
          <w:gridBefore w:val="1"/>
          <w:wBefore w:w="2658" w:type="dxa"/>
          <w:trHeight w:val="584"/>
          <w:jc w:val="center"/>
        </w:trPr>
        <w:tc>
          <w:tcPr>
            <w:tcW w:w="3300" w:type="dxa"/>
            <w:gridSpan w:val="2"/>
            <w:tcBorders>
              <w:top w:val="nil"/>
              <w:left w:val="single" w:sz="4" w:space="0" w:color="008FBE"/>
              <w:bottom w:val="nil"/>
              <w:right w:val="single" w:sz="4" w:space="0" w:color="008FBE"/>
            </w:tcBorders>
            <w:shd w:val="clear" w:color="auto" w:fill="0098CD"/>
            <w:vAlign w:val="bottom"/>
          </w:tcPr>
          <w:p w14:paraId="606A0F18" w14:textId="6D1665F3" w:rsidR="00A73246" w:rsidRPr="00A24FD0" w:rsidRDefault="00A73246" w:rsidP="006540B1">
            <w:pPr>
              <w:jc w:val="center"/>
              <w:rPr>
                <w:rFonts w:cs="UnitOT-Medi"/>
                <w:b/>
                <w:color w:val="FFFFFF" w:themeColor="background1"/>
                <w:sz w:val="22"/>
                <w:szCs w:val="22"/>
              </w:rPr>
            </w:pPr>
            <w:r>
              <w:rPr>
                <w:rFonts w:cs="UnitOT-Medi"/>
                <w:b/>
                <w:color w:val="FFFFFF" w:themeColor="background1"/>
                <w:sz w:val="22"/>
                <w:szCs w:val="22"/>
              </w:rPr>
              <w:t>Posiciones</w:t>
            </w:r>
          </w:p>
        </w:tc>
      </w:tr>
      <w:tr w:rsidR="00A73246" w:rsidRPr="00E2314E" w14:paraId="794D8579" w14:textId="77777777" w:rsidTr="00A73246">
        <w:trPr>
          <w:gridBefore w:val="1"/>
          <w:wBefore w:w="2658" w:type="dxa"/>
          <w:trHeight w:val="584"/>
          <w:jc w:val="center"/>
        </w:trPr>
        <w:tc>
          <w:tcPr>
            <w:tcW w:w="1650" w:type="dxa"/>
            <w:tcBorders>
              <w:top w:val="nil"/>
              <w:left w:val="nil"/>
              <w:bottom w:val="single" w:sz="4" w:space="0" w:color="0098CD"/>
              <w:right w:val="single" w:sz="4" w:space="0" w:color="0098CD"/>
            </w:tcBorders>
            <w:shd w:val="clear" w:color="auto" w:fill="E6F4F9"/>
            <w:vAlign w:val="bottom"/>
          </w:tcPr>
          <w:p w14:paraId="5B74ACF5" w14:textId="7666B8D1" w:rsidR="00A73246" w:rsidRPr="001E737A" w:rsidRDefault="00A73246" w:rsidP="006540B1">
            <w:pPr>
              <w:jc w:val="center"/>
              <w:rPr>
                <w:rFonts w:cs="UnitOT-Medi"/>
                <w:b/>
                <w:color w:val="FFFFFF" w:themeColor="background1"/>
                <w:sz w:val="20"/>
                <w:szCs w:val="20"/>
              </w:rPr>
            </w:pPr>
            <m:oMathPara>
              <m:oMath>
                <m:r>
                  <m:rPr>
                    <m:sty m:val="bi"/>
                  </m:rPr>
                  <w:rPr>
                    <w:rFonts w:ascii="Cambria Math" w:hAnsi="Cambria Math" w:cs="UnitOT-Medi"/>
                    <w:sz w:val="20"/>
                    <w:szCs w:val="20"/>
                  </w:rPr>
                  <m:t>x</m:t>
                </m:r>
              </m:oMath>
            </m:oMathPara>
          </w:p>
        </w:tc>
        <w:tc>
          <w:tcPr>
            <w:tcW w:w="1650" w:type="dxa"/>
            <w:tcBorders>
              <w:top w:val="nil"/>
              <w:left w:val="single" w:sz="4" w:space="0" w:color="0098CD"/>
              <w:bottom w:val="single" w:sz="4" w:space="0" w:color="0098CD"/>
              <w:right w:val="single" w:sz="4" w:space="0" w:color="0098CD"/>
            </w:tcBorders>
            <w:shd w:val="clear" w:color="auto" w:fill="E6F4F9"/>
            <w:vAlign w:val="bottom"/>
          </w:tcPr>
          <w:p w14:paraId="261C1B3B" w14:textId="08C73CA5" w:rsidR="00A73246" w:rsidRPr="001E737A" w:rsidRDefault="00A73246" w:rsidP="006540B1">
            <w:pPr>
              <w:jc w:val="center"/>
              <w:rPr>
                <w:rFonts w:cs="UnitOT-Medi"/>
                <w:b/>
                <w:color w:val="FFFFFF" w:themeColor="background1"/>
                <w:sz w:val="20"/>
                <w:szCs w:val="20"/>
              </w:rPr>
            </w:pPr>
            <m:oMathPara>
              <m:oMath>
                <m:r>
                  <m:rPr>
                    <m:sty m:val="bi"/>
                  </m:rPr>
                  <w:rPr>
                    <w:rFonts w:ascii="Cambria Math" w:hAnsi="Cambria Math" w:cs="UnitOT-Medi"/>
                    <w:sz w:val="20"/>
                    <w:szCs w:val="20"/>
                  </w:rPr>
                  <m:t>y</m:t>
                </m:r>
              </m:oMath>
            </m:oMathPara>
          </w:p>
        </w:tc>
      </w:tr>
      <w:tr w:rsidR="00A73246" w14:paraId="71F5945C"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2E0662C0" w14:textId="56507B34" w:rsidR="00A73246" w:rsidRPr="007C7EC3" w:rsidRDefault="00A73246" w:rsidP="006540B1">
            <w:pPr>
              <w:jc w:val="left"/>
              <w:rPr>
                <w:rFonts w:cs="UnitOT-Medi"/>
                <w:b/>
                <w:sz w:val="20"/>
                <w:szCs w:val="20"/>
              </w:rPr>
            </w:pPr>
            <w:r>
              <w:rPr>
                <w:rFonts w:cs="UnitOT-Medi"/>
                <w:b/>
                <w:sz w:val="20"/>
                <w:szCs w:val="20"/>
              </w:rPr>
              <w:lastRenderedPageBreak/>
              <w:t>Central nuclear</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460739E4" w14:textId="71828553" w:rsidR="00A73246" w:rsidRPr="00DD2649" w:rsidRDefault="00A73246" w:rsidP="006540B1">
            <w:pPr>
              <w:jc w:val="center"/>
              <w:rPr>
                <w:rFonts w:cs="UnitOT-Light"/>
                <w:sz w:val="20"/>
                <w:szCs w:val="20"/>
              </w:rPr>
            </w:pPr>
            <w:r>
              <w:rPr>
                <w:rFonts w:cs="UnitOT-Light"/>
                <w:sz w:val="20"/>
                <w:szCs w:val="20"/>
              </w:rPr>
              <w:t>0</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1E44A703" w14:textId="36900CC9" w:rsidR="00A73246" w:rsidRPr="00DD2649" w:rsidRDefault="00A73246" w:rsidP="006540B1">
            <w:pPr>
              <w:jc w:val="center"/>
              <w:rPr>
                <w:rFonts w:cs="UnitOT-Light"/>
                <w:sz w:val="20"/>
                <w:szCs w:val="20"/>
              </w:rPr>
            </w:pPr>
            <w:r>
              <w:rPr>
                <w:rFonts w:cs="UnitOT-Light"/>
                <w:sz w:val="20"/>
                <w:szCs w:val="20"/>
              </w:rPr>
              <w:t>20</w:t>
            </w:r>
          </w:p>
        </w:tc>
      </w:tr>
      <w:tr w:rsidR="00A73246" w14:paraId="32B2B5AD"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75497173" w14:textId="2C6E5EF1" w:rsidR="00A73246" w:rsidRPr="001E737A" w:rsidRDefault="00A73246" w:rsidP="006540B1">
            <w:pPr>
              <w:jc w:val="left"/>
              <w:rPr>
                <w:rFonts w:cs="UnitOT-Medi"/>
                <w:b/>
                <w:sz w:val="20"/>
                <w:szCs w:val="20"/>
              </w:rPr>
            </w:pPr>
            <w:r>
              <w:rPr>
                <w:rFonts w:cs="UnitOT-Medi"/>
                <w:b/>
                <w:sz w:val="20"/>
                <w:szCs w:val="20"/>
              </w:rPr>
              <w:t>Badulaque</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1D923580" w14:textId="0D9E96A1" w:rsidR="00A73246" w:rsidRPr="00DD2649" w:rsidRDefault="00A73246" w:rsidP="006540B1">
            <w:pPr>
              <w:jc w:val="center"/>
              <w:rPr>
                <w:rFonts w:cs="UnitOT-Light"/>
                <w:sz w:val="20"/>
                <w:szCs w:val="20"/>
              </w:rPr>
            </w:pPr>
            <w:r>
              <w:rPr>
                <w:rFonts w:cs="UnitOT-Light"/>
                <w:sz w:val="20"/>
                <w:szCs w:val="20"/>
              </w:rPr>
              <w:t>1.5</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0D1B388F" w14:textId="0B8953F4" w:rsidR="00A73246" w:rsidRPr="00DD2649" w:rsidRDefault="00A73246" w:rsidP="006540B1">
            <w:pPr>
              <w:jc w:val="center"/>
              <w:rPr>
                <w:rFonts w:cs="UnitOT-Light"/>
                <w:sz w:val="20"/>
                <w:szCs w:val="20"/>
              </w:rPr>
            </w:pPr>
            <w:r>
              <w:rPr>
                <w:rFonts w:cs="UnitOT-Light"/>
                <w:sz w:val="20"/>
                <w:szCs w:val="20"/>
              </w:rPr>
              <w:t>100</w:t>
            </w:r>
          </w:p>
        </w:tc>
      </w:tr>
      <w:tr w:rsidR="00A73246" w14:paraId="459D7B82"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0CF074E2" w14:textId="014021F2" w:rsidR="00A73246" w:rsidRPr="001E737A" w:rsidRDefault="00A73246" w:rsidP="006540B1">
            <w:pPr>
              <w:jc w:val="left"/>
              <w:rPr>
                <w:rFonts w:cs="UnitOT-Medi"/>
                <w:b/>
                <w:sz w:val="20"/>
                <w:szCs w:val="20"/>
              </w:rPr>
            </w:pPr>
            <w:r>
              <w:rPr>
                <w:rFonts w:cs="UnitOT-Medi"/>
                <w:b/>
                <w:sz w:val="20"/>
                <w:szCs w:val="20"/>
              </w:rPr>
              <w:t xml:space="preserve">Estudios </w:t>
            </w:r>
            <w:proofErr w:type="spellStart"/>
            <w:r>
              <w:rPr>
                <w:rFonts w:cs="UnitOT-Medi"/>
                <w:b/>
                <w:sz w:val="20"/>
                <w:szCs w:val="20"/>
              </w:rPr>
              <w:t>Krustylu</w:t>
            </w:r>
            <w:proofErr w:type="spellEnd"/>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7FC0BD11" w14:textId="2B47A2A4" w:rsidR="00A73246" w:rsidRPr="00DD2649" w:rsidRDefault="00A73246" w:rsidP="006540B1">
            <w:pPr>
              <w:jc w:val="center"/>
              <w:rPr>
                <w:rFonts w:cs="UnitOT-Light"/>
                <w:sz w:val="20"/>
                <w:szCs w:val="20"/>
              </w:rPr>
            </w:pPr>
            <w:r>
              <w:rPr>
                <w:rFonts w:cs="UnitOT-Light"/>
                <w:sz w:val="20"/>
                <w:szCs w:val="20"/>
              </w:rPr>
              <w:t>3</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20223382" w14:textId="109EF518" w:rsidR="00A73246" w:rsidRPr="00DD2649" w:rsidRDefault="00A73246" w:rsidP="006540B1">
            <w:pPr>
              <w:jc w:val="center"/>
              <w:rPr>
                <w:rFonts w:cs="UnitOT-Light"/>
                <w:sz w:val="20"/>
                <w:szCs w:val="20"/>
              </w:rPr>
            </w:pPr>
            <w:r>
              <w:rPr>
                <w:rFonts w:cs="UnitOT-Light"/>
                <w:sz w:val="20"/>
                <w:szCs w:val="20"/>
              </w:rPr>
              <w:t>60</w:t>
            </w:r>
          </w:p>
        </w:tc>
      </w:tr>
      <w:tr w:rsidR="00A73246" w14:paraId="665BFA76"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45980D35" w14:textId="166E0B2C" w:rsidR="00A73246" w:rsidRPr="001E737A" w:rsidRDefault="00A73246" w:rsidP="006540B1">
            <w:pPr>
              <w:jc w:val="left"/>
              <w:rPr>
                <w:rFonts w:cs="UnitOT-Medi"/>
                <w:b/>
                <w:sz w:val="20"/>
                <w:szCs w:val="20"/>
              </w:rPr>
            </w:pPr>
            <w:r>
              <w:rPr>
                <w:rFonts w:cs="UnitOT-Medi"/>
                <w:b/>
                <w:sz w:val="20"/>
                <w:szCs w:val="20"/>
              </w:rPr>
              <w:t xml:space="preserve">Estatua </w:t>
            </w:r>
            <w:proofErr w:type="spellStart"/>
            <w:r>
              <w:rPr>
                <w:rFonts w:cs="UnitOT-Medi"/>
                <w:b/>
                <w:sz w:val="20"/>
                <w:szCs w:val="20"/>
              </w:rPr>
              <w:t>Jebediah</w:t>
            </w:r>
            <w:proofErr w:type="spellEnd"/>
            <w:r>
              <w:rPr>
                <w:rFonts w:cs="UnitOT-Medi"/>
                <w:b/>
                <w:sz w:val="20"/>
                <w:szCs w:val="20"/>
              </w:rPr>
              <w:t xml:space="preserve"> Springfield</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753F8211" w14:textId="0D8CEDA0" w:rsidR="00A73246" w:rsidRPr="00DD2649" w:rsidRDefault="00A73246" w:rsidP="006540B1">
            <w:pPr>
              <w:jc w:val="center"/>
              <w:rPr>
                <w:rFonts w:cs="UnitOT-Light"/>
                <w:sz w:val="20"/>
                <w:szCs w:val="20"/>
              </w:rPr>
            </w:pPr>
            <w:r>
              <w:rPr>
                <w:rFonts w:cs="UnitOT-Light"/>
                <w:sz w:val="20"/>
                <w:szCs w:val="20"/>
              </w:rPr>
              <w:t>4</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206DC1E2" w14:textId="7834589F" w:rsidR="00A73246" w:rsidRPr="00DD2649" w:rsidRDefault="00A73246" w:rsidP="006540B1">
            <w:pPr>
              <w:jc w:val="center"/>
              <w:rPr>
                <w:rFonts w:cs="UnitOT-Light"/>
                <w:sz w:val="20"/>
                <w:szCs w:val="20"/>
              </w:rPr>
            </w:pPr>
            <w:r>
              <w:rPr>
                <w:rFonts w:cs="UnitOT-Light"/>
                <w:sz w:val="20"/>
                <w:szCs w:val="20"/>
              </w:rPr>
              <w:t>120</w:t>
            </w:r>
          </w:p>
        </w:tc>
      </w:tr>
      <w:tr w:rsidR="00A73246" w14:paraId="73122E62"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2E3920B8" w14:textId="02E29BDD" w:rsidR="00A73246" w:rsidRDefault="00A73246" w:rsidP="006540B1">
            <w:pPr>
              <w:jc w:val="left"/>
              <w:rPr>
                <w:rFonts w:cs="UnitOT-Medi"/>
                <w:b/>
                <w:sz w:val="20"/>
                <w:szCs w:val="20"/>
              </w:rPr>
            </w:pPr>
            <w:r>
              <w:rPr>
                <w:rFonts w:cs="UnitOT-Medi"/>
                <w:b/>
                <w:sz w:val="20"/>
                <w:szCs w:val="20"/>
              </w:rPr>
              <w:t>Mazmorra del Androide</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60A8F082" w14:textId="0B38D64F" w:rsidR="00A73246" w:rsidRPr="00DD2649" w:rsidRDefault="00A73246" w:rsidP="006540B1">
            <w:pPr>
              <w:jc w:val="center"/>
              <w:rPr>
                <w:rFonts w:cs="UnitOT-Light"/>
                <w:sz w:val="20"/>
                <w:szCs w:val="20"/>
              </w:rPr>
            </w:pPr>
            <w:r>
              <w:rPr>
                <w:rFonts w:cs="UnitOT-Light"/>
                <w:sz w:val="20"/>
                <w:szCs w:val="20"/>
              </w:rPr>
              <w:t>6</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4C1F97DF" w14:textId="06430198" w:rsidR="00A73246" w:rsidRPr="00DD2649" w:rsidRDefault="00A73246" w:rsidP="006540B1">
            <w:pPr>
              <w:jc w:val="center"/>
              <w:rPr>
                <w:rFonts w:cs="UnitOT-Light"/>
                <w:sz w:val="20"/>
                <w:szCs w:val="20"/>
              </w:rPr>
            </w:pPr>
            <w:r>
              <w:rPr>
                <w:rFonts w:cs="UnitOT-Light"/>
                <w:sz w:val="20"/>
                <w:szCs w:val="20"/>
              </w:rPr>
              <w:t>20</w:t>
            </w:r>
          </w:p>
        </w:tc>
      </w:tr>
      <w:tr w:rsidR="00A73246" w14:paraId="310949D6"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78343D8C" w14:textId="7ADE4AB9" w:rsidR="00A73246" w:rsidRDefault="00A73246" w:rsidP="006540B1">
            <w:pPr>
              <w:jc w:val="left"/>
              <w:rPr>
                <w:rFonts w:cs="UnitOT-Medi"/>
                <w:b/>
                <w:sz w:val="20"/>
                <w:szCs w:val="20"/>
              </w:rPr>
            </w:pPr>
            <w:proofErr w:type="spellStart"/>
            <w:r>
              <w:rPr>
                <w:rFonts w:cs="UnitOT-Medi"/>
                <w:b/>
                <w:sz w:val="20"/>
                <w:szCs w:val="20"/>
              </w:rPr>
              <w:t>Taverna</w:t>
            </w:r>
            <w:proofErr w:type="spellEnd"/>
            <w:r>
              <w:rPr>
                <w:rFonts w:cs="UnitOT-Medi"/>
                <w:b/>
                <w:sz w:val="20"/>
                <w:szCs w:val="20"/>
              </w:rPr>
              <w:t xml:space="preserve"> de Moe</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072A1E39" w14:textId="53A0D54C" w:rsidR="00A73246" w:rsidRPr="00DD2649" w:rsidRDefault="00A73246" w:rsidP="006540B1">
            <w:pPr>
              <w:jc w:val="center"/>
              <w:rPr>
                <w:rFonts w:cs="UnitOT-Light"/>
                <w:sz w:val="20"/>
                <w:szCs w:val="20"/>
              </w:rPr>
            </w:pPr>
            <w:r>
              <w:rPr>
                <w:rFonts w:cs="UnitOT-Light"/>
                <w:sz w:val="20"/>
                <w:szCs w:val="20"/>
              </w:rPr>
              <w:t>7</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75D615A5" w14:textId="5D5D1521" w:rsidR="00A73246" w:rsidRPr="00DD2649" w:rsidRDefault="00A73246" w:rsidP="006540B1">
            <w:pPr>
              <w:jc w:val="center"/>
              <w:rPr>
                <w:rFonts w:cs="UnitOT-Light"/>
                <w:sz w:val="20"/>
                <w:szCs w:val="20"/>
              </w:rPr>
            </w:pPr>
            <w:r>
              <w:rPr>
                <w:rFonts w:cs="UnitOT-Light"/>
                <w:sz w:val="20"/>
                <w:szCs w:val="20"/>
              </w:rPr>
              <w:t>40</w:t>
            </w:r>
          </w:p>
        </w:tc>
      </w:tr>
      <w:tr w:rsidR="00A73246" w14:paraId="199A4A92"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08111962" w14:textId="6A5BE8BF" w:rsidR="00A73246" w:rsidRDefault="00A73246" w:rsidP="006540B1">
            <w:pPr>
              <w:jc w:val="left"/>
              <w:rPr>
                <w:rFonts w:cs="UnitOT-Medi"/>
                <w:b/>
                <w:sz w:val="20"/>
                <w:szCs w:val="20"/>
              </w:rPr>
            </w:pPr>
            <w:r>
              <w:rPr>
                <w:rFonts w:cs="UnitOT-Medi"/>
                <w:b/>
                <w:sz w:val="20"/>
                <w:szCs w:val="20"/>
              </w:rPr>
              <w:t xml:space="preserve">742 </w:t>
            </w:r>
            <w:proofErr w:type="spellStart"/>
            <w:r>
              <w:rPr>
                <w:rFonts w:cs="UnitOT-Medi"/>
                <w:b/>
                <w:sz w:val="20"/>
                <w:szCs w:val="20"/>
              </w:rPr>
              <w:t>Evergreen</w:t>
            </w:r>
            <w:proofErr w:type="spellEnd"/>
            <w:r>
              <w:rPr>
                <w:rFonts w:cs="UnitOT-Medi"/>
                <w:b/>
                <w:sz w:val="20"/>
                <w:szCs w:val="20"/>
              </w:rPr>
              <w:t xml:space="preserve"> </w:t>
            </w:r>
            <w:proofErr w:type="spellStart"/>
            <w:r>
              <w:rPr>
                <w:rFonts w:cs="UnitOT-Medi"/>
                <w:b/>
                <w:sz w:val="20"/>
                <w:szCs w:val="20"/>
              </w:rPr>
              <w:t>Terrace</w:t>
            </w:r>
            <w:proofErr w:type="spellEnd"/>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130785CB" w14:textId="57007B96" w:rsidR="00A73246" w:rsidRPr="00DD2649" w:rsidRDefault="00A73246" w:rsidP="006540B1">
            <w:pPr>
              <w:jc w:val="center"/>
              <w:rPr>
                <w:rFonts w:cs="UnitOT-Light"/>
                <w:sz w:val="20"/>
                <w:szCs w:val="20"/>
              </w:rPr>
            </w:pPr>
            <w:r>
              <w:rPr>
                <w:rFonts w:cs="UnitOT-Light"/>
                <w:sz w:val="20"/>
                <w:szCs w:val="20"/>
              </w:rPr>
              <w:t>9</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22A47146" w14:textId="0AAAB3B0" w:rsidR="00A73246" w:rsidRPr="00DD2649" w:rsidRDefault="00A73246" w:rsidP="006540B1">
            <w:pPr>
              <w:jc w:val="center"/>
              <w:rPr>
                <w:rFonts w:cs="UnitOT-Light"/>
                <w:sz w:val="20"/>
                <w:szCs w:val="20"/>
              </w:rPr>
            </w:pPr>
            <w:r>
              <w:rPr>
                <w:rFonts w:cs="UnitOT-Light"/>
                <w:sz w:val="20"/>
                <w:szCs w:val="20"/>
              </w:rPr>
              <w:t>100</w:t>
            </w:r>
          </w:p>
        </w:tc>
      </w:tr>
      <w:tr w:rsidR="00A73246" w14:paraId="67724E2B" w14:textId="77777777" w:rsidTr="00A73246">
        <w:trPr>
          <w:trHeight w:val="510"/>
          <w:jc w:val="center"/>
        </w:trPr>
        <w:tc>
          <w:tcPr>
            <w:tcW w:w="2658" w:type="dxa"/>
            <w:tcBorders>
              <w:top w:val="single" w:sz="4" w:space="0" w:color="0098CD"/>
              <w:left w:val="nil"/>
              <w:bottom w:val="single" w:sz="4" w:space="0" w:color="0098CD"/>
              <w:right w:val="single" w:sz="4" w:space="0" w:color="0098CD"/>
            </w:tcBorders>
            <w:shd w:val="clear" w:color="auto" w:fill="E6F4F9"/>
            <w:vAlign w:val="bottom"/>
          </w:tcPr>
          <w:p w14:paraId="51E30B43" w14:textId="51594087" w:rsidR="00A73246" w:rsidRDefault="00A73246" w:rsidP="006540B1">
            <w:pPr>
              <w:jc w:val="left"/>
              <w:rPr>
                <w:rFonts w:cs="UnitOT-Medi"/>
                <w:b/>
                <w:sz w:val="20"/>
                <w:szCs w:val="20"/>
              </w:rPr>
            </w:pPr>
            <w:r>
              <w:rPr>
                <w:rFonts w:cs="UnitOT-Medi"/>
                <w:b/>
                <w:sz w:val="20"/>
                <w:szCs w:val="20"/>
              </w:rPr>
              <w:t>Laboratorio de Frink</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0E33EF65" w14:textId="3B75E1D7" w:rsidR="00A73246" w:rsidRPr="00DD2649" w:rsidRDefault="00A73246" w:rsidP="006540B1">
            <w:pPr>
              <w:jc w:val="center"/>
              <w:rPr>
                <w:rFonts w:cs="UnitOT-Light"/>
                <w:sz w:val="20"/>
                <w:szCs w:val="20"/>
              </w:rPr>
            </w:pPr>
            <w:r>
              <w:rPr>
                <w:rFonts w:cs="UnitOT-Light"/>
                <w:sz w:val="20"/>
                <w:szCs w:val="20"/>
              </w:rPr>
              <w:t>10</w:t>
            </w:r>
          </w:p>
        </w:tc>
        <w:tc>
          <w:tcPr>
            <w:tcW w:w="1650" w:type="dxa"/>
            <w:tcBorders>
              <w:top w:val="single" w:sz="4" w:space="0" w:color="0098CD"/>
              <w:left w:val="single" w:sz="4" w:space="0" w:color="0098CD"/>
              <w:bottom w:val="single" w:sz="4" w:space="0" w:color="0098CD"/>
              <w:right w:val="single" w:sz="4" w:space="0" w:color="0098CD"/>
            </w:tcBorders>
            <w:shd w:val="clear" w:color="auto" w:fill="auto"/>
            <w:vAlign w:val="bottom"/>
          </w:tcPr>
          <w:p w14:paraId="7973B84D" w14:textId="3465C761" w:rsidR="00A73246" w:rsidRPr="00DD2649" w:rsidRDefault="00A73246" w:rsidP="006540B1">
            <w:pPr>
              <w:jc w:val="center"/>
              <w:rPr>
                <w:rFonts w:cs="UnitOT-Light"/>
                <w:sz w:val="20"/>
                <w:szCs w:val="20"/>
              </w:rPr>
            </w:pPr>
            <w:r>
              <w:rPr>
                <w:rFonts w:cs="UnitOT-Light"/>
                <w:sz w:val="20"/>
                <w:szCs w:val="20"/>
              </w:rPr>
              <w:t>0</w:t>
            </w:r>
          </w:p>
        </w:tc>
      </w:tr>
    </w:tbl>
    <w:p w14:paraId="71A48137" w14:textId="21FED005" w:rsidR="00A73246" w:rsidRPr="00A73246" w:rsidRDefault="00A73246" w:rsidP="00A73246">
      <w:pPr>
        <w:pStyle w:val="Piedefoto-tabla"/>
      </w:pPr>
      <w:r w:rsidRPr="00A73246">
        <w:t>Tabla 1. Ubicaciones de las p</w:t>
      </w:r>
      <w:r>
        <w:t>aradas del monorraíl.</w:t>
      </w:r>
    </w:p>
    <w:p w14:paraId="47745CD6" w14:textId="591E35F6" w:rsidR="00A73246" w:rsidRDefault="00A73246" w:rsidP="00A73246"/>
    <w:p w14:paraId="770916C6" w14:textId="19153B2F" w:rsidR="00A73246" w:rsidRDefault="00765C20" w:rsidP="00A73246">
      <w:r>
        <w:t>Resuelve los siguientes problemas.</w:t>
      </w:r>
    </w:p>
    <w:p w14:paraId="5E8C2F46" w14:textId="77777777" w:rsidR="005374E7" w:rsidRDefault="005374E7" w:rsidP="00A73246"/>
    <w:p w14:paraId="0A0536E7" w14:textId="350BED11" w:rsidR="001F5B9D" w:rsidRPr="005374E7" w:rsidRDefault="00765C20" w:rsidP="001F5B9D">
      <w:pPr>
        <w:pStyle w:val="TtuloApartado1sinnivel"/>
        <w:rPr>
          <w:sz w:val="28"/>
          <w:szCs w:val="28"/>
        </w:rPr>
      </w:pPr>
      <w:r w:rsidRPr="005374E7">
        <w:rPr>
          <w:sz w:val="28"/>
          <w:szCs w:val="28"/>
        </w:rPr>
        <w:t>Problema 1</w:t>
      </w:r>
    </w:p>
    <w:p w14:paraId="20449ECD" w14:textId="77777777" w:rsidR="00652A02" w:rsidRDefault="00652A02" w:rsidP="00A73246"/>
    <w:p w14:paraId="7456ADD9" w14:textId="3DCC9E00" w:rsidR="00765C20" w:rsidRDefault="00765C20" w:rsidP="00A73246">
      <w:r>
        <w:t xml:space="preserve">Como primera aproximación, vamos a hacer una interpolación lineal entre cada pareja de puntos contiguos. Utiliza </w:t>
      </w:r>
      <w:r w:rsidR="00D00BAD">
        <w:t xml:space="preserve">el comando de Matlab </w:t>
      </w:r>
      <w:proofErr w:type="spellStart"/>
      <w:r w:rsidR="00D00BAD" w:rsidRPr="00D00BAD">
        <w:rPr>
          <w:rFonts w:ascii="Consolas" w:hAnsi="Consolas"/>
        </w:rPr>
        <w:t>polyfit</w:t>
      </w:r>
      <w:proofErr w:type="spellEnd"/>
      <w:r w:rsidR="001B76FF">
        <w:rPr>
          <w:rFonts w:ascii="Consolas" w:hAnsi="Consolas"/>
        </w:rPr>
        <w:t xml:space="preserve"> </w:t>
      </w:r>
      <w:r w:rsidR="001B76FF" w:rsidRPr="001B76FF">
        <w:rPr>
          <w:rFonts w:asciiTheme="minorHAnsi" w:hAnsiTheme="minorHAnsi" w:cstheme="minorHAnsi"/>
        </w:rPr>
        <w:t>utilizando dos decimales</w:t>
      </w:r>
      <w:r w:rsidR="00D00BAD">
        <w:t xml:space="preserve">. </w:t>
      </w:r>
      <w:r>
        <w:t xml:space="preserve">Obtén la expresión de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i=0,1…,6</m:t>
        </m:r>
      </m:oMath>
      <w:r>
        <w:t>, es decir</w:t>
      </w:r>
      <w:r w:rsidR="005374E7">
        <w:t>:</w:t>
      </w:r>
    </w:p>
    <w:p w14:paraId="3337F1A3" w14:textId="77777777" w:rsidR="005374E7" w:rsidRDefault="005374E7" w:rsidP="00A73246"/>
    <w:p w14:paraId="197DF1C4" w14:textId="0EAC7957" w:rsidR="00765C20" w:rsidRPr="00765C20" w:rsidRDefault="001B76FF" w:rsidP="00A73246">
      <m:oMathPara>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e>
                  <m:e>
                    <m:r>
                      <w:rPr>
                        <w:rFonts w:ascii="Cambria Math" w:hAnsi="Cambria Math"/>
                      </w:rPr>
                      <m:t>x∈</m:t>
                    </m:r>
                    <m:d>
                      <m:dPr>
                        <m:begChr m:val="["/>
                        <m:endChr m:val="]"/>
                        <m:ctrlPr>
                          <w:rPr>
                            <w:rFonts w:ascii="Cambria Math" w:hAnsi="Cambria Math"/>
                            <w:i/>
                          </w:rPr>
                        </m:ctrlPr>
                      </m:dPr>
                      <m:e>
                        <m:r>
                          <w:rPr>
                            <w:rFonts w:ascii="Cambria Math" w:hAnsi="Cambria Math"/>
                          </w:rPr>
                          <m:t>0,1.5</m:t>
                        </m:r>
                      </m:e>
                    </m:d>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e>
                  <m:e>
                    <m:r>
                      <w:rPr>
                        <w:rFonts w:ascii="Cambria Math" w:hAnsi="Cambria Math"/>
                      </w:rPr>
                      <m:t>x∈</m:t>
                    </m:r>
                    <m:d>
                      <m:dPr>
                        <m:begChr m:val="["/>
                        <m:endChr m:val="]"/>
                        <m:ctrlPr>
                          <w:rPr>
                            <w:rFonts w:ascii="Cambria Math" w:hAnsi="Cambria Math"/>
                            <w:i/>
                          </w:rPr>
                        </m:ctrlPr>
                      </m:dPr>
                      <m:e>
                        <m:r>
                          <w:rPr>
                            <w:rFonts w:ascii="Cambria Math" w:hAnsi="Cambria Math"/>
                          </w:rPr>
                          <m:t>1.5,3</m:t>
                        </m:r>
                      </m:e>
                    </m:d>
                    <m:r>
                      <w:rPr>
                        <w:rFonts w:ascii="Cambria Math" w:hAnsi="Cambria Math"/>
                      </w:rPr>
                      <m:t>,</m:t>
                    </m:r>
                  </m:e>
                </m:m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e>
                  <m:e>
                    <m:r>
                      <w:rPr>
                        <w:rFonts w:ascii="Cambria Math" w:hAnsi="Cambria Math"/>
                      </w:rPr>
                      <m:t>x∈</m:t>
                    </m:r>
                    <m:d>
                      <m:dPr>
                        <m:begChr m:val="["/>
                        <m:endChr m:val="]"/>
                        <m:ctrlPr>
                          <w:rPr>
                            <w:rFonts w:ascii="Cambria Math" w:hAnsi="Cambria Math"/>
                            <w:i/>
                          </w:rPr>
                        </m:ctrlPr>
                      </m:dPr>
                      <m:e>
                        <m:r>
                          <w:rPr>
                            <w:rFonts w:ascii="Cambria Math" w:hAnsi="Cambria Math"/>
                          </w:rPr>
                          <m:t>9,10</m:t>
                        </m:r>
                      </m:e>
                    </m:d>
                    <m:r>
                      <w:rPr>
                        <w:rFonts w:ascii="Cambria Math" w:hAnsi="Cambria Math"/>
                      </w:rPr>
                      <m:t>.</m:t>
                    </m:r>
                  </m:e>
                </m:mr>
              </m:m>
            </m:e>
          </m:d>
        </m:oMath>
      </m:oMathPara>
    </w:p>
    <w:p w14:paraId="4EF7DD0E" w14:textId="77777777" w:rsidR="005374E7" w:rsidRDefault="005374E7" w:rsidP="00A73246"/>
    <w:p w14:paraId="7451C0C9" w14:textId="043DB93C" w:rsidR="00765C20" w:rsidRPr="00765C20" w:rsidRDefault="00765C20" w:rsidP="00A73246">
      <w:r>
        <w:t>Representa el polinomio a trozos con líneas; utiliza puntos para las ubicaciones de las paradas.</w:t>
      </w:r>
    </w:p>
    <w:p w14:paraId="3E9F2855" w14:textId="32467158" w:rsidR="001F5B9D" w:rsidRPr="005374E7" w:rsidRDefault="00765C20" w:rsidP="001F5B9D">
      <w:pPr>
        <w:pStyle w:val="TtuloApartado1sinnivel"/>
        <w:rPr>
          <w:sz w:val="28"/>
          <w:szCs w:val="28"/>
        </w:rPr>
      </w:pPr>
      <w:r w:rsidRPr="005374E7">
        <w:rPr>
          <w:sz w:val="28"/>
          <w:szCs w:val="28"/>
        </w:rPr>
        <w:t>Problema 2</w:t>
      </w:r>
    </w:p>
    <w:p w14:paraId="1657870D" w14:textId="77777777" w:rsidR="005374E7" w:rsidRDefault="005374E7" w:rsidP="00765C20"/>
    <w:p w14:paraId="202D5E11" w14:textId="5376F9BC" w:rsidR="00765C20" w:rsidRDefault="00765C20" w:rsidP="00765C20">
      <w:r>
        <w:t xml:space="preserve">Si utilizamos interpolación lineal entre las paradas, observamos que hay cambios muy bruscos de la pendiente, o lo que es equivalente, la función </w:t>
      </w:r>
      <m:oMath>
        <m:r>
          <w:rPr>
            <w:rFonts w:ascii="Cambria Math" w:hAnsi="Cambria Math"/>
          </w:rPr>
          <m:t>l(x)</m:t>
        </m:r>
      </m:oMath>
      <w:r>
        <w:t xml:space="preserve"> no es derivable. Obtén el polinomio de interpolación de Newton </w:t>
      </w:r>
      <m:oMath>
        <m:r>
          <w:rPr>
            <w:rFonts w:ascii="Cambria Math" w:hAnsi="Cambria Math"/>
          </w:rPr>
          <m:t>n(x)</m:t>
        </m:r>
      </m:oMath>
      <w:r>
        <w:t xml:space="preserve"> de grado 7 que pasa por las ocho paradas</w:t>
      </w:r>
      <w:r w:rsidR="001B76FF">
        <w:t>, utilizando dos decimales</w:t>
      </w:r>
      <w:r>
        <w:t>. Representa el polinomio; utiliza puntos para las ubicaciones de las paradas.</w:t>
      </w:r>
    </w:p>
    <w:p w14:paraId="565CC4F0" w14:textId="3FFC0C38" w:rsidR="00765C20" w:rsidRDefault="00765C20" w:rsidP="00765C20"/>
    <w:p w14:paraId="4C54CB86" w14:textId="40EF4F85" w:rsidR="005374E7" w:rsidRPr="005374E7" w:rsidRDefault="00765C20" w:rsidP="005374E7">
      <w:pPr>
        <w:pStyle w:val="TtuloApartado1sinnivel"/>
        <w:rPr>
          <w:sz w:val="28"/>
          <w:szCs w:val="28"/>
        </w:rPr>
      </w:pPr>
      <w:r w:rsidRPr="005374E7">
        <w:rPr>
          <w:sz w:val="28"/>
          <w:szCs w:val="28"/>
        </w:rPr>
        <w:t>Problema 3</w:t>
      </w:r>
    </w:p>
    <w:p w14:paraId="37CA777C" w14:textId="77777777" w:rsidR="005374E7" w:rsidRPr="005374E7" w:rsidRDefault="005374E7" w:rsidP="005374E7"/>
    <w:p w14:paraId="436DA2CD" w14:textId="7BAF56FF" w:rsidR="00765C20" w:rsidRDefault="00B5228E" w:rsidP="00765C20">
      <w:r>
        <w:t xml:space="preserve">El polinomio de grado 7 de Newton hace que para ir de la Central Nuclear al Badulaque recorramos mucha distancia. Obtén el polinomio de </w:t>
      </w:r>
      <w:proofErr w:type="spellStart"/>
      <w:r>
        <w:t>Hermite</w:t>
      </w:r>
      <w:proofErr w:type="spellEnd"/>
      <w:r>
        <w:t xml:space="preserve"> </w:t>
      </w:r>
      <m:oMath>
        <m:r>
          <w:rPr>
            <w:rFonts w:ascii="Cambria Math" w:hAnsi="Cambria Math"/>
          </w:rPr>
          <m:t>h</m:t>
        </m:r>
        <m:d>
          <m:dPr>
            <m:ctrlPr>
              <w:rPr>
                <w:rFonts w:ascii="Cambria Math" w:hAnsi="Cambria Math"/>
                <w:i/>
              </w:rPr>
            </m:ctrlPr>
          </m:dPr>
          <m:e>
            <m:r>
              <w:rPr>
                <w:rFonts w:ascii="Cambria Math" w:hAnsi="Cambria Math"/>
              </w:rPr>
              <m:t>x</m:t>
            </m:r>
          </m:e>
        </m:d>
      </m:oMath>
      <w:r>
        <w:t xml:space="preserve"> de grado </w:t>
      </w:r>
      <w:r w:rsidR="000C372B">
        <w:t>15</w:t>
      </w:r>
      <w:r>
        <w:t xml:space="preserve"> que pasa por las ocho paradas, tomando como derivada en cada punto el valor 0. </w:t>
      </w:r>
      <w:r w:rsidR="000C372B">
        <w:t xml:space="preserve">Redondea los coeficientes al entero más próximo (acabarás con un polinomio de grado 12). </w:t>
      </w:r>
      <w:r>
        <w:t>Representa el polinomio; utiliza puntos para las ubicaciones de las paradas.</w:t>
      </w:r>
    </w:p>
    <w:p w14:paraId="51C6DA5A" w14:textId="54B39DBD" w:rsidR="00B5228E" w:rsidRDefault="00B5228E" w:rsidP="00765C20"/>
    <w:p w14:paraId="1EACF084" w14:textId="5DB58972" w:rsidR="001F5B9D" w:rsidRPr="005374E7" w:rsidRDefault="00B5228E" w:rsidP="001F5B9D">
      <w:pPr>
        <w:pStyle w:val="TtuloApartado1sinnivel"/>
        <w:rPr>
          <w:sz w:val="28"/>
          <w:szCs w:val="28"/>
        </w:rPr>
      </w:pPr>
      <w:r w:rsidRPr="005374E7">
        <w:rPr>
          <w:sz w:val="28"/>
          <w:szCs w:val="28"/>
        </w:rPr>
        <w:t>Problema 4</w:t>
      </w:r>
    </w:p>
    <w:p w14:paraId="1866B947" w14:textId="77777777" w:rsidR="005374E7" w:rsidRPr="005374E7" w:rsidRDefault="005374E7" w:rsidP="005374E7"/>
    <w:p w14:paraId="09B73CD9" w14:textId="55DDC0DE" w:rsidR="00B5228E" w:rsidRDefault="00B5228E" w:rsidP="00765C20">
      <w:r>
        <w:t xml:space="preserve">Parece que utilizar el polinomio de </w:t>
      </w:r>
      <w:proofErr w:type="spellStart"/>
      <w:r>
        <w:t>Hermite</w:t>
      </w:r>
      <w:proofErr w:type="spellEnd"/>
      <w:r>
        <w:t xml:space="preserve"> empeora todavía más el trayecto entre la Central Nuclear y el Badulaque. Así que vamos a utilizar </w:t>
      </w:r>
      <w:proofErr w:type="spellStart"/>
      <w:r>
        <w:t>splines</w:t>
      </w:r>
      <w:proofErr w:type="spellEnd"/>
      <w:r>
        <w:t xml:space="preserve"> naturales cúbicos </w:t>
      </w:r>
      <m:oMath>
        <m:r>
          <w:rPr>
            <w:rFonts w:ascii="Cambria Math" w:hAnsi="Cambria Math"/>
          </w:rPr>
          <m:t>s(x)</m:t>
        </m:r>
      </m:oMath>
      <w:r>
        <w:t xml:space="preserve">. </w:t>
      </w:r>
      <w:r w:rsidR="00074312">
        <w:t xml:space="preserve">Obtén los </w:t>
      </w:r>
      <w:proofErr w:type="spellStart"/>
      <w:r w:rsidR="00074312">
        <w:t>splines</w:t>
      </w:r>
      <w:proofErr w:type="spellEnd"/>
      <w:r w:rsidR="00074312">
        <w:t xml:space="preserve"> naturales cúbicos que pasan por las ocho paradas, es decir, obtén la expresión de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i=0,1,…,6</m:t>
        </m:r>
      </m:oMath>
      <w:r w:rsidR="00074312">
        <w:t>, donde</w:t>
      </w:r>
      <w:r w:rsidR="003C5425">
        <w:t>:</w:t>
      </w:r>
    </w:p>
    <w:p w14:paraId="6F78C795" w14:textId="77777777" w:rsidR="005374E7" w:rsidRDefault="005374E7" w:rsidP="00765C20"/>
    <w:p w14:paraId="799A6980" w14:textId="4FB6FF9A" w:rsidR="00B5228E" w:rsidRPr="00074312" w:rsidRDefault="00074312" w:rsidP="00765C20">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e>
                  <m:e>
                    <m:r>
                      <w:rPr>
                        <w:rFonts w:ascii="Cambria Math" w:hAnsi="Cambria Math"/>
                      </w:rPr>
                      <m:t>x∈</m:t>
                    </m:r>
                    <m:d>
                      <m:dPr>
                        <m:begChr m:val="["/>
                        <m:endChr m:val="]"/>
                        <m:ctrlPr>
                          <w:rPr>
                            <w:rFonts w:ascii="Cambria Math" w:hAnsi="Cambria Math"/>
                            <w:i/>
                          </w:rPr>
                        </m:ctrlPr>
                      </m:dPr>
                      <m:e>
                        <m:r>
                          <w:rPr>
                            <w:rFonts w:ascii="Cambria Math" w:hAnsi="Cambria Math"/>
                          </w:rPr>
                          <m:t>0,1.5</m:t>
                        </m:r>
                      </m:e>
                    </m:d>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e>
                  <m:e>
                    <m:r>
                      <w:rPr>
                        <w:rFonts w:ascii="Cambria Math" w:hAnsi="Cambria Math"/>
                      </w:rPr>
                      <m:t>x∈</m:t>
                    </m:r>
                    <m:d>
                      <m:dPr>
                        <m:begChr m:val="["/>
                        <m:endChr m:val="]"/>
                        <m:ctrlPr>
                          <w:rPr>
                            <w:rFonts w:ascii="Cambria Math" w:hAnsi="Cambria Math"/>
                            <w:i/>
                          </w:rPr>
                        </m:ctrlPr>
                      </m:dPr>
                      <m:e>
                        <m:r>
                          <w:rPr>
                            <w:rFonts w:ascii="Cambria Math" w:hAnsi="Cambria Math"/>
                          </w:rPr>
                          <m:t>1.5,3</m:t>
                        </m:r>
                      </m:e>
                    </m:d>
                    <m:r>
                      <w:rPr>
                        <w:rFonts w:ascii="Cambria Math" w:hAnsi="Cambria Math"/>
                      </w:rPr>
                      <m:t>,</m:t>
                    </m:r>
                  </m:e>
                </m:m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e>
                  <m:e>
                    <m:r>
                      <w:rPr>
                        <w:rFonts w:ascii="Cambria Math" w:hAnsi="Cambria Math"/>
                      </w:rPr>
                      <m:t>x∈</m:t>
                    </m:r>
                    <m:d>
                      <m:dPr>
                        <m:begChr m:val="["/>
                        <m:endChr m:val="]"/>
                        <m:ctrlPr>
                          <w:rPr>
                            <w:rFonts w:ascii="Cambria Math" w:hAnsi="Cambria Math"/>
                            <w:i/>
                          </w:rPr>
                        </m:ctrlPr>
                      </m:dPr>
                      <m:e>
                        <m:r>
                          <w:rPr>
                            <w:rFonts w:ascii="Cambria Math" w:hAnsi="Cambria Math"/>
                          </w:rPr>
                          <m:t>9,10</m:t>
                        </m:r>
                      </m:e>
                    </m:d>
                    <m:r>
                      <w:rPr>
                        <w:rFonts w:ascii="Cambria Math" w:hAnsi="Cambria Math"/>
                      </w:rPr>
                      <m:t>.</m:t>
                    </m:r>
                  </m:e>
                </m:mr>
              </m:m>
            </m:e>
          </m:d>
        </m:oMath>
      </m:oMathPara>
    </w:p>
    <w:p w14:paraId="1B01EEDD" w14:textId="77777777" w:rsidR="005374E7" w:rsidRDefault="005374E7" w:rsidP="00074312"/>
    <w:p w14:paraId="406828E5" w14:textId="34354A3C" w:rsidR="00074312" w:rsidRDefault="000C372B" w:rsidP="00074312">
      <w:r>
        <w:t xml:space="preserve">Utiliza dos decimales. </w:t>
      </w:r>
      <w:r w:rsidR="00074312">
        <w:t>Representa el polinomio; utiliza puntos para las ubicaciones de las paradas.</w:t>
      </w:r>
    </w:p>
    <w:p w14:paraId="7B6DB13E" w14:textId="77777777" w:rsidR="005374E7" w:rsidRDefault="005374E7" w:rsidP="00074312"/>
    <w:p w14:paraId="1AC2B108" w14:textId="58C4F3C8" w:rsidR="001F5B9D" w:rsidRPr="005374E7" w:rsidRDefault="00B5228E" w:rsidP="001F5B9D">
      <w:pPr>
        <w:pStyle w:val="TtuloApartado1sinnivel"/>
        <w:rPr>
          <w:sz w:val="28"/>
          <w:szCs w:val="28"/>
        </w:rPr>
      </w:pPr>
      <w:r w:rsidRPr="005374E7">
        <w:rPr>
          <w:sz w:val="28"/>
          <w:szCs w:val="28"/>
        </w:rPr>
        <w:t>Problema 5</w:t>
      </w:r>
    </w:p>
    <w:p w14:paraId="16C926D6" w14:textId="77777777" w:rsidR="005374E7" w:rsidRPr="005374E7" w:rsidRDefault="005374E7" w:rsidP="005374E7"/>
    <w:p w14:paraId="0E3FC8A0" w14:textId="2A4A7ACA" w:rsidR="00B5228E" w:rsidRDefault="00B5228E" w:rsidP="00765C20">
      <w:r>
        <w:t xml:space="preserve">Representa en una sola gráfica la superposición de los polinomios de interpolación </w:t>
      </w:r>
      <m:oMath>
        <m:r>
          <w:rPr>
            <w:rFonts w:ascii="Cambria Math" w:hAnsi="Cambria Math"/>
          </w:rPr>
          <m:t>l(x)</m:t>
        </m:r>
      </m:oMath>
      <w:r>
        <w:t xml:space="preserve">, </w:t>
      </w:r>
      <m:oMath>
        <m:r>
          <w:rPr>
            <w:rFonts w:ascii="Cambria Math" w:hAnsi="Cambria Math"/>
          </w:rPr>
          <m:t>n(x)</m:t>
        </m:r>
      </m:oMath>
      <w:r>
        <w:t xml:space="preserve">, </w:t>
      </w:r>
      <m:oMath>
        <m:r>
          <w:rPr>
            <w:rFonts w:ascii="Cambria Math" w:hAnsi="Cambria Math"/>
          </w:rPr>
          <m:t>h(x)</m:t>
        </m:r>
      </m:oMath>
      <w:r>
        <w:t xml:space="preserve">, </w:t>
      </w:r>
      <m:oMath>
        <m:r>
          <w:rPr>
            <w:rFonts w:ascii="Cambria Math" w:hAnsi="Cambria Math"/>
          </w:rPr>
          <m:t>s(x)</m:t>
        </m:r>
      </m:oMath>
      <w:r>
        <w:t xml:space="preserve"> y los puntos</w:t>
      </w:r>
      <w:r w:rsidR="00074312">
        <w:t xml:space="preserve"> de las paradas</w:t>
      </w:r>
      <w:r w:rsidR="00050A0E">
        <w:t xml:space="preserve">, ajustando los ejes a </w:t>
      </w:r>
      <m:oMath>
        <m:r>
          <w:rPr>
            <w:rFonts w:ascii="Cambria Math" w:hAnsi="Cambria Math"/>
          </w:rPr>
          <m:t>0≤x≤10, 0≤y≤140</m:t>
        </m:r>
      </m:oMath>
      <w:r w:rsidR="00074312">
        <w:t>. Comenta los resultados.</w:t>
      </w:r>
    </w:p>
    <w:p w14:paraId="171BCA52" w14:textId="77777777" w:rsidR="00765C20" w:rsidRPr="00A73246" w:rsidRDefault="00765C20" w:rsidP="00A73246"/>
    <w:p w14:paraId="5C288FF1" w14:textId="51965124" w:rsidR="0073675D" w:rsidRDefault="0073675D" w:rsidP="005374E7">
      <w:r w:rsidRPr="005374E7">
        <w:rPr>
          <w:b/>
        </w:rPr>
        <w:t xml:space="preserve">Rúbrica </w:t>
      </w:r>
    </w:p>
    <w:p w14:paraId="222D9F5A" w14:textId="77777777" w:rsidR="0073675D" w:rsidRPr="00322EB5" w:rsidRDefault="0073675D" w:rsidP="0073675D"/>
    <w:tbl>
      <w:tblPr>
        <w:tblStyle w:val="Tabladecuadrcula5oscura-nfasis51"/>
        <w:tblW w:w="0" w:type="auto"/>
        <w:tblLook w:val="04A0" w:firstRow="1" w:lastRow="0" w:firstColumn="1" w:lastColumn="0" w:noHBand="0" w:noVBand="1"/>
      </w:tblPr>
      <w:tblGrid>
        <w:gridCol w:w="1550"/>
        <w:gridCol w:w="3703"/>
        <w:gridCol w:w="1930"/>
        <w:gridCol w:w="1027"/>
      </w:tblGrid>
      <w:tr w:rsidR="0073675D" w14:paraId="4498BE4D" w14:textId="77777777" w:rsidTr="00654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Pr>
          <w:p w14:paraId="0DB51C7F" w14:textId="77777777" w:rsidR="003C5425" w:rsidRDefault="003C5425" w:rsidP="006540B1">
            <w:pPr>
              <w:spacing w:line="240" w:lineRule="auto"/>
              <w:jc w:val="center"/>
              <w:rPr>
                <w:rFonts w:cs="UnitOT-Medi"/>
                <w:color w:val="FFFFFF" w:themeColor="background1"/>
                <w:sz w:val="22"/>
                <w:szCs w:val="22"/>
              </w:rPr>
            </w:pPr>
          </w:p>
          <w:p w14:paraId="4B470EF8" w14:textId="189B0254" w:rsidR="0073675D" w:rsidRPr="006069B6" w:rsidRDefault="003C5425" w:rsidP="006540B1">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El monorraíl </w:t>
            </w:r>
          </w:p>
        </w:tc>
        <w:tc>
          <w:tcPr>
            <w:tcW w:w="3703" w:type="dxa"/>
            <w:tcBorders>
              <w:bottom w:val="single" w:sz="4" w:space="0" w:color="FFFFFF" w:themeColor="background1"/>
            </w:tcBorders>
            <w:shd w:val="clear" w:color="auto" w:fill="0098CD"/>
            <w:vAlign w:val="center"/>
          </w:tcPr>
          <w:p w14:paraId="001620AE" w14:textId="77777777" w:rsidR="0073675D" w:rsidRPr="006069B6" w:rsidRDefault="0073675D" w:rsidP="006540B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vAlign w:val="center"/>
          </w:tcPr>
          <w:p w14:paraId="6BF06BDB" w14:textId="77777777" w:rsidR="0073675D" w:rsidRPr="006069B6" w:rsidRDefault="0073675D" w:rsidP="006540B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016696B1" w14:textId="77777777" w:rsidR="0073675D" w:rsidRPr="006069B6" w:rsidRDefault="0073675D" w:rsidP="006540B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14:paraId="57AFB53A" w14:textId="77777777" w:rsidR="0073675D" w:rsidRPr="006069B6" w:rsidRDefault="0073675D" w:rsidP="006540B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0AC8635E" w14:textId="77777777" w:rsidR="0073675D" w:rsidRPr="006069B6" w:rsidRDefault="0073675D" w:rsidP="006540B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3675D" w14:paraId="1522FCFA"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32C96FCF" w14:textId="77777777" w:rsidR="0073675D" w:rsidRPr="00195AB8" w:rsidRDefault="0073675D" w:rsidP="00195AB8">
            <w:pPr>
              <w:spacing w:before="120" w:after="120" w:line="240" w:lineRule="auto"/>
              <w:jc w:val="center"/>
              <w:rPr>
                <w:rFonts w:cs="UnitOT-Medi"/>
                <w:sz w:val="20"/>
                <w:szCs w:val="20"/>
              </w:rPr>
            </w:pPr>
            <w:r w:rsidRPr="00195AB8">
              <w:rPr>
                <w:rFonts w:cs="UnitOT-Medi"/>
                <w:sz w:val="20"/>
                <w:szCs w:val="20"/>
              </w:rPr>
              <w:t>Criterio 1</w:t>
            </w:r>
          </w:p>
        </w:tc>
        <w:tc>
          <w:tcPr>
            <w:tcW w:w="3703" w:type="dxa"/>
            <w:tcBorders>
              <w:left w:val="single" w:sz="4" w:space="0" w:color="0098CD"/>
              <w:bottom w:val="single" w:sz="4" w:space="0" w:color="0098CD"/>
              <w:right w:val="single" w:sz="4" w:space="0" w:color="0098CD"/>
            </w:tcBorders>
            <w:shd w:val="clear" w:color="auto" w:fill="auto"/>
            <w:vAlign w:val="center"/>
          </w:tcPr>
          <w:p w14:paraId="74D317E3" w14:textId="6914FCF0" w:rsidR="0073675D" w:rsidRPr="006069B6"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Calidad en la presentación</w:t>
            </w:r>
            <w:r w:rsidR="003743CE">
              <w:rPr>
                <w:rFonts w:cs="UnitOT-Light"/>
                <w:sz w:val="20"/>
                <w:szCs w:val="20"/>
              </w:rPr>
              <w:t>.</w:t>
            </w:r>
          </w:p>
        </w:tc>
        <w:tc>
          <w:tcPr>
            <w:tcW w:w="1930" w:type="dxa"/>
            <w:tcBorders>
              <w:left w:val="single" w:sz="4" w:space="0" w:color="0098CD"/>
              <w:bottom w:val="single" w:sz="4" w:space="0" w:color="0098CD"/>
              <w:right w:val="single" w:sz="4" w:space="0" w:color="0098CD"/>
            </w:tcBorders>
            <w:shd w:val="clear" w:color="auto" w:fill="auto"/>
            <w:vAlign w:val="center"/>
          </w:tcPr>
          <w:p w14:paraId="2D0FDCF6" w14:textId="52BC5DE2" w:rsidR="0073675D" w:rsidRPr="006069B6"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27" w:type="dxa"/>
            <w:tcBorders>
              <w:left w:val="single" w:sz="4" w:space="0" w:color="0098CD"/>
              <w:bottom w:val="single" w:sz="4" w:space="0" w:color="0098CD"/>
            </w:tcBorders>
            <w:shd w:val="clear" w:color="auto" w:fill="auto"/>
            <w:vAlign w:val="center"/>
          </w:tcPr>
          <w:p w14:paraId="549C8EE6" w14:textId="5FB3EB1B" w:rsidR="0073675D" w:rsidRPr="006069B6"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73675D" w14:paraId="465B2DDF"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7A4FBA1D" w14:textId="77777777" w:rsidR="0073675D" w:rsidRPr="00195AB8" w:rsidRDefault="0073675D" w:rsidP="00195AB8">
            <w:pPr>
              <w:spacing w:before="120" w:after="120" w:line="240" w:lineRule="auto"/>
              <w:jc w:val="center"/>
              <w:rPr>
                <w:rFonts w:cs="UnitOT-Medi"/>
                <w:sz w:val="20"/>
                <w:szCs w:val="20"/>
              </w:rPr>
            </w:pPr>
            <w:r w:rsidRPr="00195AB8">
              <w:rPr>
                <w:rFonts w:cs="UnitOT-Medi"/>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FA3ECAF" w14:textId="4594BEB9" w:rsidR="0073675D"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1. Desarrollo.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902054B" w14:textId="046BB1E0" w:rsidR="0073675D"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0.3</w:t>
            </w:r>
          </w:p>
        </w:tc>
        <w:tc>
          <w:tcPr>
            <w:tcW w:w="1027" w:type="dxa"/>
            <w:tcBorders>
              <w:top w:val="single" w:sz="4" w:space="0" w:color="0098CD"/>
              <w:left w:val="single" w:sz="4" w:space="0" w:color="0098CD"/>
              <w:bottom w:val="single" w:sz="4" w:space="0" w:color="0098CD"/>
            </w:tcBorders>
            <w:shd w:val="clear" w:color="auto" w:fill="auto"/>
            <w:vAlign w:val="center"/>
          </w:tcPr>
          <w:p w14:paraId="5D920874" w14:textId="7A3A696A" w:rsidR="0073675D"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r>
      <w:tr w:rsidR="00074312" w14:paraId="39F079AD"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6A2161B2" w14:textId="2D8767E1"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DADE2C0" w14:textId="6319F581"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1. Resultado.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2E0A79B" w14:textId="6E691397"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6F8AC690" w14:textId="2E70DB99" w:rsidR="00074312" w:rsidRPr="006069B6"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r>
      <w:tr w:rsidR="00074312" w14:paraId="4DB2DA65"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40117DE" w14:textId="03C8BE29"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4</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8FD4CE8" w14:textId="1C99F05E"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1. Representación.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87C2F07" w14:textId="1AFEF3FF"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0.2</w:t>
            </w:r>
          </w:p>
        </w:tc>
        <w:tc>
          <w:tcPr>
            <w:tcW w:w="1027" w:type="dxa"/>
            <w:tcBorders>
              <w:top w:val="single" w:sz="4" w:space="0" w:color="0098CD"/>
              <w:left w:val="single" w:sz="4" w:space="0" w:color="0098CD"/>
              <w:bottom w:val="single" w:sz="4" w:space="0" w:color="0098CD"/>
            </w:tcBorders>
            <w:shd w:val="clear" w:color="auto" w:fill="auto"/>
            <w:vAlign w:val="center"/>
          </w:tcPr>
          <w:p w14:paraId="7F251C12" w14:textId="464CDB46" w:rsidR="00074312"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r>
      <w:tr w:rsidR="00074312" w14:paraId="39CB9AC2"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996D97C" w14:textId="50691097"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5</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221BDF" w14:textId="7A47928A"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2. Desarrollo.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943232" w14:textId="3C8D33EB"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0.6</w:t>
            </w:r>
          </w:p>
        </w:tc>
        <w:tc>
          <w:tcPr>
            <w:tcW w:w="1027" w:type="dxa"/>
            <w:tcBorders>
              <w:top w:val="single" w:sz="4" w:space="0" w:color="0098CD"/>
              <w:left w:val="single" w:sz="4" w:space="0" w:color="0098CD"/>
              <w:bottom w:val="single" w:sz="4" w:space="0" w:color="0098CD"/>
            </w:tcBorders>
            <w:shd w:val="clear" w:color="auto" w:fill="auto"/>
            <w:vAlign w:val="center"/>
          </w:tcPr>
          <w:p w14:paraId="5E568F7D" w14:textId="74D73E50" w:rsidR="00074312" w:rsidRPr="006069B6"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6%</w:t>
            </w:r>
          </w:p>
        </w:tc>
      </w:tr>
      <w:tr w:rsidR="00074312" w14:paraId="0D02A64C"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52FCD0FA" w14:textId="00036839"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6</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7E9F21E" w14:textId="0DB89952"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2. Resultado.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FA46EE" w14:textId="619D9558"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14:paraId="40801717" w14:textId="4716B17F" w:rsidR="00074312"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074312" w14:paraId="4CCA536A"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9B27C63" w14:textId="23717571"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7</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F5AC672" w14:textId="537F8969"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2. Representación.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87BCD25" w14:textId="64E3A433"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0.4</w:t>
            </w:r>
          </w:p>
        </w:tc>
        <w:tc>
          <w:tcPr>
            <w:tcW w:w="1027" w:type="dxa"/>
            <w:tcBorders>
              <w:top w:val="single" w:sz="4" w:space="0" w:color="0098CD"/>
              <w:left w:val="single" w:sz="4" w:space="0" w:color="0098CD"/>
              <w:bottom w:val="single" w:sz="4" w:space="0" w:color="0098CD"/>
            </w:tcBorders>
            <w:shd w:val="clear" w:color="auto" w:fill="auto"/>
            <w:vAlign w:val="center"/>
          </w:tcPr>
          <w:p w14:paraId="3079D417" w14:textId="2588FEB4" w:rsidR="00074312" w:rsidRPr="006069B6"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r>
      <w:tr w:rsidR="00074312" w14:paraId="110B0542"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11783E83" w14:textId="65508B63"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8</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02D8F8" w14:textId="393010AE"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2. Desarrollo.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14A7079" w14:textId="127A4710"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0.6</w:t>
            </w:r>
          </w:p>
        </w:tc>
        <w:tc>
          <w:tcPr>
            <w:tcW w:w="1027" w:type="dxa"/>
            <w:tcBorders>
              <w:top w:val="single" w:sz="4" w:space="0" w:color="0098CD"/>
              <w:left w:val="single" w:sz="4" w:space="0" w:color="0098CD"/>
              <w:bottom w:val="single" w:sz="4" w:space="0" w:color="0098CD"/>
            </w:tcBorders>
            <w:shd w:val="clear" w:color="auto" w:fill="auto"/>
            <w:vAlign w:val="center"/>
          </w:tcPr>
          <w:p w14:paraId="1FC98549" w14:textId="6D216ECA" w:rsidR="00074312"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6%</w:t>
            </w:r>
          </w:p>
        </w:tc>
      </w:tr>
      <w:tr w:rsidR="00074312" w14:paraId="5B270468"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8A57B67" w14:textId="1686AD69"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9</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F7BE06E" w14:textId="50983466"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2. Resultado.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E5DB6C6" w14:textId="171585CD"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14:paraId="4C39A976" w14:textId="2B317977" w:rsidR="00074312" w:rsidRPr="006069B6"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074312" w14:paraId="7E2F299F"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66A71925" w14:textId="2188252E"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10</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37C95DB" w14:textId="3A1CDB0F"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2. Representación.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8DBE3C" w14:textId="7CE69B7D"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0.4</w:t>
            </w:r>
          </w:p>
        </w:tc>
        <w:tc>
          <w:tcPr>
            <w:tcW w:w="1027" w:type="dxa"/>
            <w:tcBorders>
              <w:top w:val="single" w:sz="4" w:space="0" w:color="0098CD"/>
              <w:left w:val="single" w:sz="4" w:space="0" w:color="0098CD"/>
              <w:bottom w:val="single" w:sz="4" w:space="0" w:color="0098CD"/>
            </w:tcBorders>
            <w:shd w:val="clear" w:color="auto" w:fill="auto"/>
            <w:vAlign w:val="center"/>
          </w:tcPr>
          <w:p w14:paraId="51C7EF2B" w14:textId="1FEC5F71" w:rsidR="00074312"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w:t>
            </w:r>
          </w:p>
        </w:tc>
      </w:tr>
      <w:tr w:rsidR="00074312" w14:paraId="089DC19B"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74E6C679" w14:textId="6F91310C"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11</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458FE7A" w14:textId="036E904E"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4. Desarrollo.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52770B3" w14:textId="5653D894"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0.9</w:t>
            </w:r>
          </w:p>
        </w:tc>
        <w:tc>
          <w:tcPr>
            <w:tcW w:w="1027" w:type="dxa"/>
            <w:tcBorders>
              <w:top w:val="single" w:sz="4" w:space="0" w:color="0098CD"/>
              <w:left w:val="single" w:sz="4" w:space="0" w:color="0098CD"/>
              <w:bottom w:val="single" w:sz="4" w:space="0" w:color="0098CD"/>
            </w:tcBorders>
            <w:shd w:val="clear" w:color="auto" w:fill="auto"/>
            <w:vAlign w:val="center"/>
          </w:tcPr>
          <w:p w14:paraId="051B6FD4" w14:textId="377112ED"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9%</w:t>
            </w:r>
          </w:p>
        </w:tc>
      </w:tr>
      <w:tr w:rsidR="00074312" w14:paraId="6E3F97A9"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4A17FEC" w14:textId="550E1241"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12</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2B54299" w14:textId="05A22D41"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4. Resultado.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EC8B475" w14:textId="794CCF27"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1027" w:type="dxa"/>
            <w:tcBorders>
              <w:top w:val="single" w:sz="4" w:space="0" w:color="0098CD"/>
              <w:left w:val="single" w:sz="4" w:space="0" w:color="0098CD"/>
              <w:bottom w:val="single" w:sz="4" w:space="0" w:color="0098CD"/>
            </w:tcBorders>
            <w:shd w:val="clear" w:color="auto" w:fill="auto"/>
            <w:vAlign w:val="center"/>
          </w:tcPr>
          <w:p w14:paraId="24BFD448" w14:textId="07B11CD7" w:rsidR="00074312"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074312" w14:paraId="5DCB887D"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72235866" w14:textId="6A362F6B"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13</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1033C63" w14:textId="5382C81D"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4. Representación.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4307B35" w14:textId="35C1CAE5"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0.6</w:t>
            </w:r>
          </w:p>
        </w:tc>
        <w:tc>
          <w:tcPr>
            <w:tcW w:w="1027" w:type="dxa"/>
            <w:tcBorders>
              <w:top w:val="single" w:sz="4" w:space="0" w:color="0098CD"/>
              <w:left w:val="single" w:sz="4" w:space="0" w:color="0098CD"/>
              <w:bottom w:val="single" w:sz="4" w:space="0" w:color="0098CD"/>
            </w:tcBorders>
            <w:shd w:val="clear" w:color="auto" w:fill="auto"/>
            <w:vAlign w:val="center"/>
          </w:tcPr>
          <w:p w14:paraId="52F3608B" w14:textId="22F60E7A"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6%</w:t>
            </w:r>
          </w:p>
        </w:tc>
      </w:tr>
      <w:tr w:rsidR="00074312" w14:paraId="727D1806"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2FB94C9" w14:textId="70AEC9F2"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14</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887B583" w14:textId="3F9FAF2F" w:rsidR="00074312"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5. Representación.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4B6245" w14:textId="0979F142" w:rsidR="00074312"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2C05B853" w14:textId="09238C7C" w:rsidR="00074312" w:rsidRPr="006069B6" w:rsidRDefault="00074312" w:rsidP="0007431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p>
        </w:tc>
      </w:tr>
      <w:tr w:rsidR="00074312" w14:paraId="034B13EF"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16CBF2B8" w14:textId="5DA1554F" w:rsidR="00074312" w:rsidRPr="00195AB8" w:rsidRDefault="00074312" w:rsidP="00195AB8">
            <w:pPr>
              <w:spacing w:before="120" w:after="120" w:line="240" w:lineRule="auto"/>
              <w:jc w:val="center"/>
              <w:rPr>
                <w:rFonts w:cs="UnitOT-Medi"/>
                <w:sz w:val="20"/>
                <w:szCs w:val="20"/>
              </w:rPr>
            </w:pPr>
            <w:r w:rsidRPr="00195AB8">
              <w:rPr>
                <w:rFonts w:cs="UnitOT-Medi"/>
                <w:sz w:val="20"/>
                <w:szCs w:val="20"/>
              </w:rPr>
              <w:t>Criterio 15</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92B3EA2" w14:textId="16C8ACA4"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5. Reflexión.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0E92C2" w14:textId="35EE25EB"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7921085F" w14:textId="63939552" w:rsidR="00074312" w:rsidRDefault="00074312" w:rsidP="0007431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r>
      <w:tr w:rsidR="00074312" w14:paraId="3EFA82CD" w14:textId="77777777" w:rsidTr="006540B1">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440F9025" w14:textId="77777777" w:rsidR="00074312" w:rsidRPr="005B48C2" w:rsidRDefault="00074312" w:rsidP="00074312">
            <w:pPr>
              <w:spacing w:line="288" w:lineRule="auto"/>
              <w:jc w:val="center"/>
              <w:rPr>
                <w:b w:val="0"/>
                <w:bCs w:val="0"/>
                <w:color w:val="000000"/>
                <w:sz w:val="22"/>
                <w:szCs w:val="18"/>
                <w:lang w:eastAsia="en-GB"/>
              </w:rPr>
            </w:pPr>
          </w:p>
        </w:tc>
        <w:tc>
          <w:tcPr>
            <w:tcW w:w="3703" w:type="dxa"/>
            <w:tcBorders>
              <w:top w:val="single" w:sz="4" w:space="0" w:color="0098CD"/>
            </w:tcBorders>
            <w:shd w:val="clear" w:color="auto" w:fill="auto"/>
          </w:tcPr>
          <w:p w14:paraId="2419BFEC" w14:textId="77777777" w:rsidR="00074312" w:rsidRPr="006069B6" w:rsidRDefault="00074312" w:rsidP="0007431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14:paraId="0AE48A78" w14:textId="77777777" w:rsidR="00074312" w:rsidRPr="006069B6" w:rsidRDefault="00074312" w:rsidP="0007431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27" w:type="dxa"/>
            <w:tcBorders>
              <w:top w:val="single" w:sz="4" w:space="0" w:color="0098CD"/>
              <w:left w:val="single" w:sz="4" w:space="0" w:color="0098CD"/>
            </w:tcBorders>
            <w:shd w:val="clear" w:color="auto" w:fill="E6F4F9"/>
          </w:tcPr>
          <w:p w14:paraId="7CA0C6E0" w14:textId="77777777" w:rsidR="00074312" w:rsidRPr="006069B6" w:rsidRDefault="00074312" w:rsidP="0007431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2B78BD07" w14:textId="77777777" w:rsidR="0073675D" w:rsidRPr="00977C5D" w:rsidRDefault="0073675D" w:rsidP="0073675D"/>
    <w:p w14:paraId="51F8851E" w14:textId="651FF535" w:rsidR="0073675D" w:rsidRDefault="0073675D" w:rsidP="005374E7">
      <w:r w:rsidRPr="005374E7">
        <w:rPr>
          <w:b/>
        </w:rPr>
        <w:t>Extensión</w:t>
      </w:r>
      <w:r w:rsidRPr="003743CE">
        <w:rPr>
          <w:b/>
          <w:bCs/>
        </w:rPr>
        <w:t xml:space="preserve"> máxima de la actividad</w:t>
      </w:r>
      <w:r w:rsidR="00074312">
        <w:t>: 10 páginas</w:t>
      </w:r>
      <w:r w:rsidR="005374E7">
        <w:t>, fuente Calibri 12 e interlineado 1,5.</w:t>
      </w:r>
    </w:p>
    <w:bookmarkEnd w:id="0"/>
    <w:p w14:paraId="53F71597" w14:textId="2EA6596B" w:rsidR="000230BE" w:rsidRPr="00A16D37" w:rsidRDefault="000230BE" w:rsidP="000230BE">
      <w:pPr>
        <w:pStyle w:val="Prrafodelista"/>
        <w:ind w:left="284"/>
        <w:rPr>
          <w:color w:val="auto"/>
        </w:rPr>
      </w:pPr>
    </w:p>
    <w:sectPr w:rsidR="000230BE" w:rsidRPr="00A16D37" w:rsidSect="00086720">
      <w:headerReference w:type="default" r:id="rId10"/>
      <w:footerReference w:type="default" r:id="rId1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14857" w14:textId="77777777" w:rsidR="00532576" w:rsidRDefault="00532576" w:rsidP="00C50246">
      <w:pPr>
        <w:spacing w:line="240" w:lineRule="auto"/>
      </w:pPr>
      <w:r>
        <w:separator/>
      </w:r>
    </w:p>
  </w:endnote>
  <w:endnote w:type="continuationSeparator" w:id="0">
    <w:p w14:paraId="7ABD3F1E" w14:textId="77777777" w:rsidR="00532576" w:rsidRDefault="0053257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55C82857" w:rsidR="006540B1" w:rsidRPr="004172DF" w:rsidRDefault="006540B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540B1" w:rsidRPr="00525591" w:rsidRDefault="006540B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rPr>
        <w:noProof/>
      </w:rPr>
      <w:t>Métodos Numéricos Aplicados I</w:t>
    </w:r>
  </w:p>
  <w:p w14:paraId="0736B8AD" w14:textId="7F12D0AF" w:rsidR="006540B1" w:rsidRPr="00656B43" w:rsidRDefault="006540B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6540B1" w:rsidRPr="001D0341" w:rsidRDefault="006540B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303CB" w14:textId="77777777" w:rsidR="00532576" w:rsidRDefault="00532576" w:rsidP="00C50246">
      <w:pPr>
        <w:spacing w:line="240" w:lineRule="auto"/>
      </w:pPr>
      <w:r>
        <w:separator/>
      </w:r>
    </w:p>
  </w:footnote>
  <w:footnote w:type="continuationSeparator" w:id="0">
    <w:p w14:paraId="10244528" w14:textId="77777777" w:rsidR="00532576" w:rsidRDefault="0053257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6540B1" w:rsidRPr="00472B27" w14:paraId="04475D8B" w14:textId="77777777" w:rsidTr="006540B1">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6540B1" w:rsidRPr="00472B27" w:rsidRDefault="006540B1"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6540B1" w:rsidRPr="00472B27" w:rsidRDefault="006540B1"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6540B1" w:rsidRPr="00472B27" w:rsidRDefault="006540B1" w:rsidP="00A90972">
          <w:pPr>
            <w:pStyle w:val="Encabezado"/>
            <w:jc w:val="center"/>
            <w:rPr>
              <w:rFonts w:cs="UnitOT-Medi"/>
              <w:color w:val="0098CD"/>
              <w:sz w:val="22"/>
              <w:szCs w:val="22"/>
            </w:rPr>
          </w:pPr>
          <w:r w:rsidRPr="00472B27">
            <w:rPr>
              <w:rFonts w:cs="UnitOT-Medi"/>
              <w:color w:val="0098CD"/>
              <w:sz w:val="22"/>
              <w:szCs w:val="22"/>
            </w:rPr>
            <w:t>Fecha</w:t>
          </w:r>
        </w:p>
      </w:tc>
    </w:tr>
    <w:tr w:rsidR="006540B1" w:rsidRPr="00472B27" w14:paraId="15F25052" w14:textId="77777777" w:rsidTr="006540B1">
      <w:trPr>
        <w:trHeight w:val="342"/>
      </w:trPr>
      <w:tc>
        <w:tcPr>
          <w:tcW w:w="2552" w:type="dxa"/>
          <w:vMerge w:val="restart"/>
        </w:tcPr>
        <w:p w14:paraId="40DC4223" w14:textId="152CD110" w:rsidR="006540B1" w:rsidRPr="00695787" w:rsidRDefault="006540B1" w:rsidP="005E129C">
          <w:pPr>
            <w:pStyle w:val="Textocajaactividades"/>
            <w:rPr>
              <w:bCs/>
            </w:rPr>
          </w:pPr>
          <w:r>
            <w:rPr>
              <w:bCs/>
            </w:rPr>
            <w:t>Métodos Numéricos Aplicados I</w:t>
          </w:r>
        </w:p>
      </w:tc>
      <w:tc>
        <w:tcPr>
          <w:tcW w:w="3827" w:type="dxa"/>
        </w:tcPr>
        <w:p w14:paraId="5CE20BBC" w14:textId="77777777" w:rsidR="006540B1" w:rsidRPr="00472B27" w:rsidRDefault="006540B1"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6540B1" w:rsidRPr="00472B27" w:rsidRDefault="006540B1" w:rsidP="009C1CA9">
          <w:pPr>
            <w:pStyle w:val="Encabezado"/>
            <w:jc w:val="center"/>
            <w:rPr>
              <w:rFonts w:asciiTheme="minorHAnsi" w:hAnsiTheme="minorHAnsi"/>
            </w:rPr>
          </w:pPr>
        </w:p>
      </w:tc>
    </w:tr>
    <w:tr w:rsidR="006540B1" w14:paraId="785FEA21" w14:textId="77777777" w:rsidTr="006540B1">
      <w:trPr>
        <w:trHeight w:val="342"/>
      </w:trPr>
      <w:tc>
        <w:tcPr>
          <w:tcW w:w="2552" w:type="dxa"/>
          <w:vMerge/>
        </w:tcPr>
        <w:p w14:paraId="0C0005ED" w14:textId="77777777" w:rsidR="006540B1" w:rsidRDefault="006540B1" w:rsidP="00A90972">
          <w:pPr>
            <w:pStyle w:val="Encabezado"/>
          </w:pPr>
        </w:p>
      </w:tc>
      <w:tc>
        <w:tcPr>
          <w:tcW w:w="3827" w:type="dxa"/>
        </w:tcPr>
        <w:p w14:paraId="77F0080C" w14:textId="77777777" w:rsidR="006540B1" w:rsidRPr="00472B27" w:rsidRDefault="006540B1" w:rsidP="00A90972">
          <w:pPr>
            <w:pStyle w:val="Encabezado"/>
            <w:rPr>
              <w:sz w:val="22"/>
              <w:szCs w:val="22"/>
            </w:rPr>
          </w:pPr>
          <w:r w:rsidRPr="00472B27">
            <w:rPr>
              <w:sz w:val="22"/>
              <w:szCs w:val="22"/>
            </w:rPr>
            <w:t>Nombre:</w:t>
          </w:r>
        </w:p>
      </w:tc>
      <w:tc>
        <w:tcPr>
          <w:tcW w:w="1831" w:type="dxa"/>
          <w:vMerge/>
        </w:tcPr>
        <w:p w14:paraId="4E71A1FB" w14:textId="77777777" w:rsidR="006540B1" w:rsidRDefault="006540B1" w:rsidP="00A90972">
          <w:pPr>
            <w:pStyle w:val="Encabezado"/>
          </w:pPr>
        </w:p>
      </w:tc>
    </w:tr>
  </w:tbl>
  <w:p w14:paraId="12A5ECED" w14:textId="77777777" w:rsidR="006540B1" w:rsidRDefault="006540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85pt;height:22.2pt" o:bullet="t">
        <v:imagedata r:id="rId1" o:title="vineta2"/>
      </v:shape>
    </w:pict>
  </w:numPicBullet>
  <w:abstractNum w:abstractNumId="0" w15:restartNumberingAfterBreak="0">
    <w:nsid w:val="04747ED0"/>
    <w:multiLevelType w:val="multilevel"/>
    <w:tmpl w:val="B0E0186E"/>
    <w:numStyleLink w:val="NumeracinTest"/>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BA37EB"/>
    <w:multiLevelType w:val="multilevel"/>
    <w:tmpl w:val="B37C3B20"/>
    <w:numStyleLink w:val="VietasUNIR"/>
  </w:abstractNum>
  <w:abstractNum w:abstractNumId="11" w15:restartNumberingAfterBreak="0">
    <w:nsid w:val="17FF37D8"/>
    <w:multiLevelType w:val="multilevel"/>
    <w:tmpl w:val="B0E0186E"/>
    <w:numStyleLink w:val="NmeracinTest"/>
  </w:abstractNum>
  <w:abstractNum w:abstractNumId="12" w15:restartNumberingAfterBreak="0">
    <w:nsid w:val="19032AB4"/>
    <w:multiLevelType w:val="multilevel"/>
    <w:tmpl w:val="B37C3B20"/>
    <w:numStyleLink w:val="VietasUNIR"/>
  </w:abstractNum>
  <w:abstractNum w:abstractNumId="13" w15:restartNumberingAfterBreak="0">
    <w:nsid w:val="19836601"/>
    <w:multiLevelType w:val="hybridMultilevel"/>
    <w:tmpl w:val="00A636EA"/>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9A2782"/>
    <w:multiLevelType w:val="multilevel"/>
    <w:tmpl w:val="B37C3B20"/>
    <w:numStyleLink w:val="VietasUNIR"/>
  </w:abstractNum>
  <w:abstractNum w:abstractNumId="16" w15:restartNumberingAfterBreak="0">
    <w:nsid w:val="1ED17BBC"/>
    <w:multiLevelType w:val="hybridMultilevel"/>
    <w:tmpl w:val="80BE5BC2"/>
    <w:lvl w:ilvl="0" w:tplc="E9644E4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1F4301C5"/>
    <w:multiLevelType w:val="hybridMultilevel"/>
    <w:tmpl w:val="21E6D55A"/>
    <w:lvl w:ilvl="0" w:tplc="0C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1306F5F"/>
    <w:multiLevelType w:val="hybridMultilevel"/>
    <w:tmpl w:val="B1B28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384441"/>
    <w:multiLevelType w:val="hybridMultilevel"/>
    <w:tmpl w:val="6624D3A2"/>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765778A"/>
    <w:multiLevelType w:val="hybridMultilevel"/>
    <w:tmpl w:val="694C00D8"/>
    <w:lvl w:ilvl="0" w:tplc="FDC07000">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DD50359"/>
    <w:multiLevelType w:val="multilevel"/>
    <w:tmpl w:val="B37C3B20"/>
    <w:numStyleLink w:val="VietasUNIR"/>
  </w:abstractNum>
  <w:abstractNum w:abstractNumId="22" w15:restartNumberingAfterBreak="0">
    <w:nsid w:val="306A19DD"/>
    <w:multiLevelType w:val="multilevel"/>
    <w:tmpl w:val="FCB6914A"/>
    <w:numStyleLink w:val="VietasUNIRcombinada"/>
  </w:abstractNum>
  <w:abstractNum w:abstractNumId="2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314134D7"/>
    <w:multiLevelType w:val="multilevel"/>
    <w:tmpl w:val="B37C3B20"/>
    <w:numStyleLink w:val="VietasUNIR"/>
  </w:abstractNum>
  <w:abstractNum w:abstractNumId="25" w15:restartNumberingAfterBreak="0">
    <w:nsid w:val="31C63678"/>
    <w:multiLevelType w:val="multilevel"/>
    <w:tmpl w:val="B0E0186E"/>
    <w:numStyleLink w:val="NmeracinTest"/>
  </w:abstractNum>
  <w:abstractNum w:abstractNumId="26" w15:restartNumberingAfterBreak="0">
    <w:nsid w:val="32DB2BF6"/>
    <w:multiLevelType w:val="hybridMultilevel"/>
    <w:tmpl w:val="5D1EB9EE"/>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74D34AD"/>
    <w:multiLevelType w:val="multilevel"/>
    <w:tmpl w:val="B37C3B20"/>
    <w:numStyleLink w:val="VietasUNIR"/>
  </w:abstractNum>
  <w:abstractNum w:abstractNumId="28" w15:restartNumberingAfterBreak="0">
    <w:nsid w:val="3798755D"/>
    <w:multiLevelType w:val="multilevel"/>
    <w:tmpl w:val="B37C3B20"/>
    <w:numStyleLink w:val="VietasUNIR"/>
  </w:abstractNum>
  <w:abstractNum w:abstractNumId="29" w15:restartNumberingAfterBreak="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44A029A"/>
    <w:multiLevelType w:val="hybridMultilevel"/>
    <w:tmpl w:val="0DA6046E"/>
    <w:lvl w:ilvl="0" w:tplc="6BFAC3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6D81B93"/>
    <w:multiLevelType w:val="hybridMultilevel"/>
    <w:tmpl w:val="27067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BE26EC1"/>
    <w:multiLevelType w:val="multilevel"/>
    <w:tmpl w:val="FCB6914A"/>
    <w:numStyleLink w:val="VietasUNIRcombinada"/>
  </w:abstractNum>
  <w:abstractNum w:abstractNumId="34" w15:restartNumberingAfterBreak="0">
    <w:nsid w:val="4D255449"/>
    <w:multiLevelType w:val="multilevel"/>
    <w:tmpl w:val="B37C3B20"/>
    <w:numStyleLink w:val="VietasUNIR"/>
  </w:abstractNum>
  <w:abstractNum w:abstractNumId="35" w15:restartNumberingAfterBreak="0">
    <w:nsid w:val="51753D68"/>
    <w:multiLevelType w:val="multilevel"/>
    <w:tmpl w:val="B37C3B20"/>
    <w:numStyleLink w:val="VietasUNIR"/>
  </w:abstractNum>
  <w:abstractNum w:abstractNumId="36" w15:restartNumberingAfterBreak="0">
    <w:nsid w:val="53E5361D"/>
    <w:multiLevelType w:val="hybridMultilevel"/>
    <w:tmpl w:val="444EB0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A76290C"/>
    <w:multiLevelType w:val="multilevel"/>
    <w:tmpl w:val="B37C3B20"/>
    <w:numStyleLink w:val="VietasUNIR"/>
  </w:abstractNum>
  <w:abstractNum w:abstractNumId="40" w15:restartNumberingAfterBreak="0">
    <w:nsid w:val="61DE56AF"/>
    <w:multiLevelType w:val="hybridMultilevel"/>
    <w:tmpl w:val="6B10D0AA"/>
    <w:lvl w:ilvl="0" w:tplc="5B8C636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34C37E6"/>
    <w:multiLevelType w:val="hybridMultilevel"/>
    <w:tmpl w:val="68F63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8EB5908"/>
    <w:multiLevelType w:val="multilevel"/>
    <w:tmpl w:val="B37C3B20"/>
    <w:numStyleLink w:val="VietasUNIR"/>
  </w:abstractNum>
  <w:abstractNum w:abstractNumId="4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C542083"/>
    <w:multiLevelType w:val="multilevel"/>
    <w:tmpl w:val="B0E0186E"/>
    <w:numStyleLink w:val="NmeracinTest"/>
  </w:abstractNum>
  <w:abstractNum w:abstractNumId="47" w15:restartNumberingAfterBreak="0">
    <w:nsid w:val="7D254355"/>
    <w:multiLevelType w:val="multilevel"/>
    <w:tmpl w:val="B37C3B20"/>
    <w:numStyleLink w:val="VietasUNIR"/>
  </w:abstractNum>
  <w:abstractNum w:abstractNumId="4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7"/>
  </w:num>
  <w:num w:numId="3">
    <w:abstractNumId w:val="47"/>
  </w:num>
  <w:num w:numId="4">
    <w:abstractNumId w:val="28"/>
  </w:num>
  <w:num w:numId="5">
    <w:abstractNumId w:val="15"/>
  </w:num>
  <w:num w:numId="6">
    <w:abstractNumId w:val="6"/>
  </w:num>
  <w:num w:numId="7">
    <w:abstractNumId w:val="41"/>
  </w:num>
  <w:num w:numId="8">
    <w:abstractNumId w:val="12"/>
  </w:num>
  <w:num w:numId="9">
    <w:abstractNumId w:val="45"/>
  </w:num>
  <w:num w:numId="10">
    <w:abstractNumId w:val="2"/>
  </w:num>
  <w:num w:numId="11">
    <w:abstractNumId w:val="48"/>
  </w:num>
  <w:num w:numId="12">
    <w:abstractNumId w:val="5"/>
  </w:num>
  <w:num w:numId="13">
    <w:abstractNumId w:val="23"/>
  </w:num>
  <w:num w:numId="14">
    <w:abstractNumId w:val="25"/>
  </w:num>
  <w:num w:numId="15">
    <w:abstractNumId w:val="44"/>
  </w:num>
  <w:num w:numId="16">
    <w:abstractNumId w:val="34"/>
  </w:num>
  <w:num w:numId="17">
    <w:abstractNumId w:val="24"/>
  </w:num>
  <w:num w:numId="18">
    <w:abstractNumId w:val="46"/>
  </w:num>
  <w:num w:numId="19">
    <w:abstractNumId w:val="10"/>
  </w:num>
  <w:num w:numId="20">
    <w:abstractNumId w:val="22"/>
  </w:num>
  <w:num w:numId="21">
    <w:abstractNumId w:val="33"/>
  </w:num>
  <w:num w:numId="22">
    <w:abstractNumId w:val="21"/>
  </w:num>
  <w:num w:numId="23">
    <w:abstractNumId w:val="11"/>
  </w:num>
  <w:num w:numId="24">
    <w:abstractNumId w:val="39"/>
  </w:num>
  <w:num w:numId="25">
    <w:abstractNumId w:val="31"/>
  </w:num>
  <w:num w:numId="26">
    <w:abstractNumId w:val="26"/>
  </w:num>
  <w:num w:numId="27">
    <w:abstractNumId w:val="4"/>
  </w:num>
  <w:num w:numId="28">
    <w:abstractNumId w:val="38"/>
  </w:num>
  <w:num w:numId="29">
    <w:abstractNumId w:val="35"/>
  </w:num>
  <w:num w:numId="30">
    <w:abstractNumId w:val="3"/>
  </w:num>
  <w:num w:numId="31">
    <w:abstractNumId w:val="19"/>
  </w:num>
  <w:num w:numId="32">
    <w:abstractNumId w:val="9"/>
  </w:num>
  <w:num w:numId="33">
    <w:abstractNumId w:val="29"/>
  </w:num>
  <w:num w:numId="34">
    <w:abstractNumId w:val="17"/>
  </w:num>
  <w:num w:numId="35">
    <w:abstractNumId w:val="37"/>
  </w:num>
  <w:num w:numId="36">
    <w:abstractNumId w:val="8"/>
  </w:num>
  <w:num w:numId="37">
    <w:abstractNumId w:val="43"/>
  </w:num>
  <w:num w:numId="38">
    <w:abstractNumId w:val="42"/>
  </w:num>
  <w:num w:numId="39">
    <w:abstractNumId w:val="36"/>
  </w:num>
  <w:num w:numId="40">
    <w:abstractNumId w:val="0"/>
  </w:num>
  <w:num w:numId="41">
    <w:abstractNumId w:val="32"/>
  </w:num>
  <w:num w:numId="42">
    <w:abstractNumId w:val="7"/>
  </w:num>
  <w:num w:numId="43">
    <w:abstractNumId w:val="14"/>
  </w:num>
  <w:num w:numId="44">
    <w:abstractNumId w:val="30"/>
  </w:num>
  <w:num w:numId="45">
    <w:abstractNumId w:val="16"/>
  </w:num>
  <w:num w:numId="46">
    <w:abstractNumId w:val="13"/>
  </w:num>
  <w:num w:numId="47">
    <w:abstractNumId w:val="40"/>
  </w:num>
  <w:num w:numId="48">
    <w:abstractNumId w:val="18"/>
  </w:num>
  <w:num w:numId="49">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096A"/>
    <w:rsid w:val="000458EE"/>
    <w:rsid w:val="00050A0E"/>
    <w:rsid w:val="0005157B"/>
    <w:rsid w:val="0005178B"/>
    <w:rsid w:val="00054229"/>
    <w:rsid w:val="00055C12"/>
    <w:rsid w:val="00056A2A"/>
    <w:rsid w:val="0005762B"/>
    <w:rsid w:val="00072D24"/>
    <w:rsid w:val="00074312"/>
    <w:rsid w:val="00076A78"/>
    <w:rsid w:val="00086720"/>
    <w:rsid w:val="00087952"/>
    <w:rsid w:val="0009320A"/>
    <w:rsid w:val="000967AE"/>
    <w:rsid w:val="000A331B"/>
    <w:rsid w:val="000A78DB"/>
    <w:rsid w:val="000C372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7CF9"/>
    <w:rsid w:val="00151A91"/>
    <w:rsid w:val="00161226"/>
    <w:rsid w:val="00163FBB"/>
    <w:rsid w:val="001658DF"/>
    <w:rsid w:val="00170CD3"/>
    <w:rsid w:val="0018310A"/>
    <w:rsid w:val="0019470A"/>
    <w:rsid w:val="00194B1F"/>
    <w:rsid w:val="00195AB8"/>
    <w:rsid w:val="00196EB1"/>
    <w:rsid w:val="001B1F38"/>
    <w:rsid w:val="001B64D3"/>
    <w:rsid w:val="001B76FF"/>
    <w:rsid w:val="001B7F82"/>
    <w:rsid w:val="001C1813"/>
    <w:rsid w:val="001C4462"/>
    <w:rsid w:val="001D0997"/>
    <w:rsid w:val="001E38BB"/>
    <w:rsid w:val="001E6766"/>
    <w:rsid w:val="001E737A"/>
    <w:rsid w:val="001F017C"/>
    <w:rsid w:val="001F1229"/>
    <w:rsid w:val="001F163E"/>
    <w:rsid w:val="001F19FD"/>
    <w:rsid w:val="001F2DF0"/>
    <w:rsid w:val="001F5B9D"/>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743CE"/>
    <w:rsid w:val="00394A34"/>
    <w:rsid w:val="003A0F3E"/>
    <w:rsid w:val="003A10AB"/>
    <w:rsid w:val="003C2275"/>
    <w:rsid w:val="003C4D34"/>
    <w:rsid w:val="003C4EBC"/>
    <w:rsid w:val="003C5425"/>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A1A48"/>
    <w:rsid w:val="004B7249"/>
    <w:rsid w:val="004D4F93"/>
    <w:rsid w:val="004E1547"/>
    <w:rsid w:val="004E5487"/>
    <w:rsid w:val="004F1492"/>
    <w:rsid w:val="004F5D83"/>
    <w:rsid w:val="0050234E"/>
    <w:rsid w:val="00507E5B"/>
    <w:rsid w:val="005131BE"/>
    <w:rsid w:val="00525591"/>
    <w:rsid w:val="00532576"/>
    <w:rsid w:val="005326C2"/>
    <w:rsid w:val="005366C0"/>
    <w:rsid w:val="005374E7"/>
    <w:rsid w:val="005463ED"/>
    <w:rsid w:val="00551A69"/>
    <w:rsid w:val="0055412E"/>
    <w:rsid w:val="00555B62"/>
    <w:rsid w:val="00575580"/>
    <w:rsid w:val="0058112D"/>
    <w:rsid w:val="00592AE8"/>
    <w:rsid w:val="005A521B"/>
    <w:rsid w:val="005B501C"/>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2A02"/>
    <w:rsid w:val="006540B1"/>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675D"/>
    <w:rsid w:val="0073726F"/>
    <w:rsid w:val="00744714"/>
    <w:rsid w:val="00744D29"/>
    <w:rsid w:val="00745244"/>
    <w:rsid w:val="00756CD6"/>
    <w:rsid w:val="007609A2"/>
    <w:rsid w:val="007616AA"/>
    <w:rsid w:val="00765C20"/>
    <w:rsid w:val="007706C5"/>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100B"/>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3246"/>
    <w:rsid w:val="00A76AA2"/>
    <w:rsid w:val="00A76D45"/>
    <w:rsid w:val="00A90972"/>
    <w:rsid w:val="00A9140C"/>
    <w:rsid w:val="00AB2DE2"/>
    <w:rsid w:val="00AD4F85"/>
    <w:rsid w:val="00B0196C"/>
    <w:rsid w:val="00B03326"/>
    <w:rsid w:val="00B04AF8"/>
    <w:rsid w:val="00B06F07"/>
    <w:rsid w:val="00B0782B"/>
    <w:rsid w:val="00B0793D"/>
    <w:rsid w:val="00B1656E"/>
    <w:rsid w:val="00B22F15"/>
    <w:rsid w:val="00B32C4E"/>
    <w:rsid w:val="00B407F7"/>
    <w:rsid w:val="00B417CD"/>
    <w:rsid w:val="00B5228E"/>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F1CAE"/>
    <w:rsid w:val="00D00BAD"/>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6BF3"/>
    <w:rsid w:val="00E560E4"/>
    <w:rsid w:val="00E62BB8"/>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Textodelmarcadordeposicin">
    <w:name w:val="Placeholder Text"/>
    <w:basedOn w:val="Fuentedeprrafopredeter"/>
    <w:uiPriority w:val="99"/>
    <w:semiHidden/>
    <w:rsid w:val="00765C20"/>
    <w:rPr>
      <w:color w:val="808080"/>
    </w:rPr>
  </w:style>
  <w:style w:type="character" w:styleId="Mencinsinresolver">
    <w:name w:val="Unresolved Mention"/>
    <w:basedOn w:val="Fuentedeprrafopredeter"/>
    <w:uiPriority w:val="99"/>
    <w:semiHidden/>
    <w:unhideWhenUsed/>
    <w:rsid w:val="00537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mpsons.fandom.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9527-1233-4286-96C8-5A6902F7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5</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Cortizas</cp:lastModifiedBy>
  <cp:revision>7</cp:revision>
  <cp:lastPrinted>2017-09-08T09:41:00Z</cp:lastPrinted>
  <dcterms:created xsi:type="dcterms:W3CDTF">2020-02-03T15:55:00Z</dcterms:created>
  <dcterms:modified xsi:type="dcterms:W3CDTF">2021-06-22T10:02:00Z</dcterms:modified>
</cp:coreProperties>
</file>