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84"/>
      </w:tblGrid>
      <w:tr>
        <w:tc>
          <w:tcPr>
            <w:tcW w:type="dxa" w:w="10656"/>
            <w:shd w:fill="0B4F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0"/>
              </w:rPr>
              <w:t>ESTACIÓN 5: Router de acceso ISP</w:t>
            </w:r>
          </w:p>
        </w:tc>
      </w:tr>
    </w:tbl>
    <w:p>
      <w:pPr>
        <w:spacing w:after="80"/>
        <w:jc w:val="center"/>
      </w:pPr>
      <w:r>
        <w:rPr>
          <w:rFonts w:ascii="Arial" w:hAnsi="Arial"/>
          <w:b/>
          <w:color w:val="555555"/>
          <w:sz w:val="19"/>
        </w:rPr>
        <w:t>Tipo: Infraestructura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Tu función principal</w:t>
      </w:r>
    </w:p>
    <w:p>
      <w:pPr>
        <w:spacing w:after="40" w:line="240" w:lineRule="auto"/>
      </w:pPr>
      <w:r>
        <w:rPr>
          <w:rFonts w:ascii="Arial" w:hAnsi="Arial"/>
          <w:sz w:val="19"/>
        </w:rPr>
        <w:t>Recibir el tráfico del cliente e introducirlo en la red del proveedor de Internet.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Términos que necesitas conocer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ISP: proveedor de servicios de Internet.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Siguiente salto: próximo equipo al que se entrega un mensaje para continuar su camino.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recibes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Un mensaje procedente del Gateway del cliente.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En el regreso, una respuesta procedente del Router de borde.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Información local de tu estación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624"/>
      </w:tblGrid>
      <w:tr>
        <w:tc>
          <w:tcPr>
            <w:tcW w:type="dxa" w:w="5328"/>
            <w:shd w:fill="0B4F8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Dato</w:t>
            </w:r>
          </w:p>
        </w:tc>
        <w:tc>
          <w:tcPr>
            <w:tcW w:type="dxa" w:w="5328"/>
            <w:shd w:fill="0B4F8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Valor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Consulta DNS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DNS Resolver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Solicitud web hacia otra red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Router de borde / Peering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Respuesta hacia el cliente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Gateway / Router del cliente</w:t>
            </w:r>
          </w:p>
        </w:tc>
      </w:tr>
    </w:tbl>
    <w:p>
      <w:pPr>
        <w:spacing w:after="40" w:line="240" w:lineRule="auto"/>
      </w:pPr>
      <w:r>
        <w:rPr>
          <w:rFonts w:ascii="Arial" w:hAnsi="Arial"/>
          <w:b/>
          <w:sz w:val="19"/>
        </w:rPr>
        <w:t xml:space="preserve">Por qué estos datos son fijos: </w:t>
      </w:r>
      <w:r>
        <w:rPr>
          <w:rFonts w:ascii="Arial" w:hAnsi="Arial"/>
          <w:sz w:val="19"/>
        </w:rPr>
        <w:t>estas son las conexiones disponibles en el router del ISP dentro de la simulación. El DNS se representa como un servicio del proveedor para simplificar la primera actividad.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debes hacer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1. </w:t>
      </w:r>
      <w:r>
        <w:rPr>
          <w:rFonts w:ascii="Arial" w:hAnsi="Arial"/>
          <w:sz w:val="18"/>
        </w:rPr>
        <w:t>Identifica qué tipo de mensaje recibiste: consulta DNS, solicitud web o respuesta hacia el cliente.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2. </w:t>
      </w:r>
      <w:r>
        <w:rPr>
          <w:rFonts w:ascii="Arial" w:hAnsi="Arial"/>
          <w:sz w:val="18"/>
        </w:rPr>
        <w:t>Si es consulta DNS, envíala al DNS Resolver.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3. </w:t>
      </w:r>
      <w:r>
        <w:rPr>
          <w:rFonts w:ascii="Arial" w:hAnsi="Arial"/>
          <w:sz w:val="18"/>
        </w:rPr>
        <w:t>Si es una solicitud web, envíala al Router de borde / Peering.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4. </w:t>
      </w:r>
      <w:r>
        <w:rPr>
          <w:rFonts w:ascii="Arial" w:hAnsi="Arial"/>
          <w:sz w:val="18"/>
        </w:rPr>
        <w:t>Si es una respuesta que vuelve al cliente, envíala al Gateway / Router del cliente.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5. </w:t>
      </w:r>
      <w:r>
        <w:rPr>
          <w:rFonts w:ascii="Arial" w:hAnsi="Arial"/>
          <w:sz w:val="18"/>
        </w:rPr>
        <w:t>No cambies los datos del mensaje.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debes devolver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2F0D9"/>
          </w:tcPr>
          <w:p>
            <w:pPr>
              <w:spacing w:after="0"/>
            </w:pPr>
            <w:r>
              <w:rPr>
                <w:rFonts w:ascii="Arial" w:hAnsi="Arial"/>
                <w:b/>
                <w:color w:val="375623"/>
                <w:sz w:val="19"/>
              </w:rPr>
              <w:t>RESPUESTA AL ESTUDIANTE-MENSAJE</w:t>
              <w:br/>
            </w:r>
            <w:r>
              <w:rPr>
                <w:rFonts w:ascii="Arial" w:hAnsi="Arial"/>
                <w:sz w:val="18"/>
              </w:rPr>
              <w:t>Consulta DNS: “Enviado al DNS Resolver”.</w:t>
              <w:br/>
            </w:r>
            <w:r>
              <w:rPr>
                <w:rFonts w:ascii="Arial" w:hAnsi="Arial"/>
                <w:sz w:val="18"/>
              </w:rPr>
              <w:t>Solicitud web: “Tráfico incorporado a la red del ISP”.</w:t>
              <w:br/>
            </w:r>
            <w:r>
              <w:rPr>
                <w:rFonts w:ascii="Arial" w:hAnsi="Arial"/>
                <w:sz w:val="18"/>
              </w:rPr>
              <w:t>Regreso: “Respuesta enviada hacia el gateway del cliente”.</w:t>
            </w:r>
          </w:p>
        </w:tc>
      </w:tr>
    </w:tbl>
    <w:p>
      <w:pPr>
        <w:spacing w:after="40" w:line="240" w:lineRule="auto"/>
      </w:pPr>
      <w:r>
        <w:rPr>
          <w:rFonts w:ascii="Arial" w:hAnsi="Arial"/>
          <w:b/>
          <w:sz w:val="19"/>
        </w:rPr>
        <w:t xml:space="preserve">Siguiente estación: </w:t>
      </w:r>
      <w:r>
        <w:rPr>
          <w:rFonts w:ascii="Arial" w:hAnsi="Arial"/>
          <w:sz w:val="19"/>
        </w:rPr>
        <w:t>DNS Resolver, Router de borde / Peering o Gateway / Router del cliente, según el tipo de mensaje.</w:t>
      </w:r>
    </w:p>
    <w:p>
      <w:pPr>
        <w:spacing w:before="100" w:after="0"/>
      </w:pPr>
      <w:r>
        <w:rPr>
          <w:rFonts w:ascii="Arial" w:hAnsi="Arial"/>
          <w:b/>
          <w:sz w:val="18"/>
        </w:rPr>
        <w:t xml:space="preserve">Regla clave: </w:t>
      </w:r>
      <w:r>
        <w:rPr>
          <w:rFonts w:ascii="Arial" w:hAnsi="Arial"/>
          <w:sz w:val="18"/>
        </w:rPr>
        <w:t>realiza únicamente la función de tu componente. No intentes resolver el trabajo de otras estaciones.</w:t>
      </w:r>
    </w:p>
    <w:p>
      <w:pPr>
        <w:sectPr>
          <w:pgSz w:w="12240" w:h="15840"/>
          <w:pgMar w:top="691" w:right="792" w:bottom="648" w:left="792" w:header="720" w:footer="720" w:gutter="0"/>
          <w:cols w:space="720"/>
          <w:docGrid w:linePitch="360"/>
        </w:sectPr>
      </w:pPr>
    </w:p>
    <w:p>
      <w:pPr>
        <w:keepNext/>
        <w:spacing w:before="0" w:after="100"/>
        <w:jc w:val="left"/>
        <w:shd w:fill="1F4E78"/>
      </w:pPr>
      <w:r>
        <w:rPr>
          <w:rFonts w:ascii="Aptos" w:hAnsi="Aptos"/>
          <w:b/>
          <w:color w:val="FFFFFF"/>
          <w:sz w:val="30"/>
        </w:rPr>
        <w:t>HOJA DE TRABAJO - ESTACIÓN 05: Router de acceso ISP</w:t>
      </w:r>
    </w:p>
    <w:p>
      <w:pPr>
        <w:spacing w:after="80"/>
      </w:pPr>
      <w:r>
        <w:rPr>
          <w:rFonts w:ascii="Aptos" w:hAnsi="Aptos"/>
          <w:b/>
          <w:color w:val="1F4E78"/>
          <w:sz w:val="17"/>
        </w:rPr>
        <w:t xml:space="preserve">Uso: </w:t>
      </w:r>
      <w:r>
        <w:rPr>
          <w:rFonts w:ascii="Aptos" w:hAnsi="Aptos"/>
          <w:b w:val="0"/>
          <w:color w:val="1F1F1F"/>
          <w:sz w:val="17"/>
        </w:rPr>
        <w:t>cada vez que llegue un estudiante-mensaje, registra qué recibiste, qué hiciste, por qué lo hiciste y qué devolviste. Usa solamente las reglas de tu estación.</w:t>
      </w:r>
    </w:p>
    <w:p>
      <w:pPr>
        <w:keepNext/>
        <w:spacing w:before="20" w:after="40"/>
      </w:pPr>
      <w:r>
        <w:rPr>
          <w:rFonts w:ascii="Aptos" w:hAnsi="Aptos"/>
          <w:b/>
          <w:color w:val="1F4E78"/>
          <w:sz w:val="21"/>
        </w:rPr>
        <w:t>INFORMACIÓN LOCAL DE CONSULTA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3384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Dato / regla local</w:t>
            </w:r>
          </w:p>
        </w:tc>
        <w:tc>
          <w:tcPr>
            <w:tcW w:type="dxa" w:w="6840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Valor / decisión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Consulta DNS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DNS Resolver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Solicitud web hacia otra red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Router de borde / Peering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Respuesta hacia el cliente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Gateway / Router del cliente</w:t>
            </w:r>
          </w:p>
        </w:tc>
      </w:tr>
    </w:tbl>
    <w:p>
      <w:pPr>
        <w:spacing w:before="40" w:after="60"/>
      </w:pPr>
      <w:r>
        <w:rPr>
          <w:rFonts w:ascii="Aptos" w:hAnsi="Aptos"/>
          <w:b/>
          <w:color w:val="1F4E78"/>
          <w:sz w:val="15"/>
        </w:rPr>
        <w:t xml:space="preserve">Regla de uso: </w:t>
      </w:r>
      <w:r>
        <w:rPr>
          <w:rFonts w:ascii="Aptos" w:hAnsi="Aptos"/>
          <w:b w:val="0"/>
          <w:color w:val="1F1F1F"/>
          <w:sz w:val="15"/>
        </w:rPr>
        <w:t>esta información permanece igual durante la actividad, salvo que el profesor entregue una indicación de cambio.</w:t>
      </w:r>
    </w:p>
    <w:p>
      <w:pPr>
        <w:keepNext/>
        <w:spacing w:before="20" w:after="40"/>
      </w:pPr>
      <w:r>
        <w:rPr>
          <w:rFonts w:ascii="Aptos" w:hAnsi="Aptos"/>
          <w:b/>
          <w:color w:val="1F4E78"/>
          <w:sz w:val="21"/>
        </w:rPr>
        <w:t>REGISTRO DE MENSAJES RECIBIDOS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6"/>
        <w:gridCol w:w="2206"/>
        <w:gridCol w:w="2206"/>
        <w:gridCol w:w="2206"/>
        <w:gridCol w:w="2206"/>
      </w:tblGrid>
      <w:tr>
        <w:trPr>
          <w:tblHeader w:val="true"/>
        </w:trPr>
        <w:tc>
          <w:tcPr>
            <w:tcW w:type="dxa" w:w="460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#</w:t>
            </w:r>
          </w:p>
        </w:tc>
        <w:tc>
          <w:tcPr>
            <w:tcW w:type="dxa" w:w="2088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recibí?</w:t>
            </w:r>
          </w:p>
        </w:tc>
        <w:tc>
          <w:tcPr>
            <w:tcW w:type="dxa" w:w="237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hice / decidí?</w:t>
            </w:r>
          </w:p>
        </w:tc>
        <w:tc>
          <w:tcPr>
            <w:tcW w:type="dxa" w:w="237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¿Por qué? (regla o dato local)</w:t>
            </w:r>
          </w:p>
        </w:tc>
        <w:tc>
          <w:tcPr>
            <w:tcW w:type="dxa" w:w="309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devolví y a dónde?</w:t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1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2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3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4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5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6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7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8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9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10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</w:tbl>
    <w:p>
      <w:pPr>
        <w:spacing w:before="40" w:after="0"/>
        <w:jc w:val="center"/>
      </w:pPr>
      <w:r>
        <w:rPr>
          <w:rFonts w:ascii="Aptos" w:hAnsi="Aptos"/>
          <w:b w:val="0"/>
          <w:color w:val="1F4E78"/>
          <w:sz w:val="14"/>
        </w:rPr>
        <w:t>Al finalizar, conserva esta hoja como evidencia de las decisiones tomadas por tu estación.</w:t>
      </w:r>
    </w:p>
    <w:sectPr w:rsidR="00FC693F" w:rsidRPr="0006063C" w:rsidSect="00034616">
      <w:pgSz w:w="12240" w:h="15840"/>
      <w:pgMar w:top="605" w:right="605" w:bottom="605" w:left="60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