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84"/>
      </w:tblGrid>
      <w:tr>
        <w:tc>
          <w:tcPr>
            <w:tcW w:type="dxa" w:w="10656"/>
            <w:shd w:fill="0B4F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0"/>
              </w:rPr>
              <w:t>ESTACIÓN 6: Router de borde / Peering / IXP</w:t>
            </w:r>
          </w:p>
        </w:tc>
      </w:tr>
    </w:tbl>
    <w:p>
      <w:pPr>
        <w:spacing w:after="80"/>
        <w:jc w:val="center"/>
      </w:pPr>
      <w:r>
        <w:rPr>
          <w:rFonts w:ascii="Arial" w:hAnsi="Arial"/>
          <w:b/>
          <w:color w:val="555555"/>
          <w:sz w:val="19"/>
        </w:rPr>
        <w:t>Tipo: Infraestructura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Tu función principal</w:t>
      </w:r>
    </w:p>
    <w:p>
      <w:pPr>
        <w:spacing w:after="40" w:line="240" w:lineRule="auto"/>
      </w:pPr>
      <w:r>
        <w:rPr>
          <w:rFonts w:ascii="Arial" w:hAnsi="Arial"/>
          <w:sz w:val="19"/>
        </w:rPr>
        <w:t>Elegir la conexión por la que el tráfico debe continuar hacia otra red.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Términos que necesitas conocer</w:t>
      </w:r>
    </w:p>
    <w:p>
      <w:pPr>
        <w:spacing w:after="20"/>
        <w:ind w:left="230" w:hanging="173"/>
      </w:pPr>
      <w:r>
        <w:rPr>
          <w:rFonts w:ascii="Arial" w:hAnsi="Arial"/>
          <w:sz w:val="18"/>
        </w:rPr>
        <w:t>• Peering: conexión directa entre redes para intercambiar tráfico.</w:t>
      </w:r>
    </w:p>
    <w:p>
      <w:pPr>
        <w:spacing w:after="20"/>
        <w:ind w:left="230" w:hanging="173"/>
      </w:pPr>
      <w:r>
        <w:rPr>
          <w:rFonts w:ascii="Arial" w:hAnsi="Arial"/>
          <w:sz w:val="18"/>
        </w:rPr>
        <w:t>• IXP: punto donde diferentes redes se interconectan para intercambiar tráfico.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Qué recibes</w:t>
      </w:r>
    </w:p>
    <w:p>
      <w:pPr>
        <w:spacing w:after="20"/>
        <w:ind w:left="230" w:hanging="173"/>
      </w:pPr>
      <w:r>
        <w:rPr>
          <w:rFonts w:ascii="Arial" w:hAnsi="Arial"/>
          <w:sz w:val="18"/>
        </w:rPr>
        <w:t>• Una dirección IP de destino y el mensaje que debe continuar.</w:t>
      </w:r>
    </w:p>
    <w:p>
      <w:pPr>
        <w:spacing w:after="20"/>
        <w:ind w:left="230" w:hanging="173"/>
      </w:pPr>
      <w:r>
        <w:rPr>
          <w:rFonts w:ascii="Arial" w:hAnsi="Arial"/>
          <w:sz w:val="18"/>
        </w:rPr>
        <w:t>• En el regreso, una IP que debe volver hacia la red del cliente.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Información local de tu estación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624"/>
      </w:tblGrid>
      <w:tr>
        <w:tc>
          <w:tcPr>
            <w:tcW w:type="dxa" w:w="5328"/>
            <w:shd w:fill="0B4F8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Dato</w:t>
            </w:r>
          </w:p>
        </w:tc>
        <w:tc>
          <w:tcPr>
            <w:tcW w:type="dxa" w:w="5328"/>
            <w:shd w:fill="0B4F8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Valor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Solicitud hacia 203.0.113.x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Enviar a Backbone / Core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Respuesta que regresa al cliente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Enviar hacia Router de acceso ISP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Otros destinos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Indicar “sin ruta definida en esta simulación”</w:t>
            </w:r>
          </w:p>
        </w:tc>
      </w:tr>
    </w:tbl>
    <w:p>
      <w:pPr>
        <w:spacing w:after="40" w:line="240" w:lineRule="auto"/>
      </w:pPr>
      <w:r>
        <w:rPr>
          <w:rFonts w:ascii="Arial" w:hAnsi="Arial"/>
          <w:b/>
          <w:sz w:val="19"/>
        </w:rPr>
        <w:t xml:space="preserve">Por qué estos datos son fijos: </w:t>
      </w:r>
      <w:r>
        <w:rPr>
          <w:rFonts w:ascii="Arial" w:hAnsi="Arial"/>
          <w:sz w:val="19"/>
        </w:rPr>
        <w:t>estas reglas representan las conexiones disponibles en esta versión inicial. El retorno se identifica como “respuesta hacia el cliente” para no introducir todavía traducción de direcciones.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Qué debes hacer</w:t>
      </w:r>
    </w:p>
    <w:p>
      <w:pPr>
        <w:spacing w:after="24" w:line="240" w:lineRule="auto"/>
        <w:ind w:left="144" w:hanging="144"/>
      </w:pPr>
      <w:r>
        <w:rPr>
          <w:rFonts w:ascii="Arial" w:hAnsi="Arial"/>
          <w:b/>
          <w:sz w:val="18"/>
        </w:rPr>
        <w:t xml:space="preserve">1. </w:t>
      </w:r>
      <w:r>
        <w:rPr>
          <w:rFonts w:ascii="Arial" w:hAnsi="Arial"/>
          <w:sz w:val="18"/>
        </w:rPr>
        <w:t>Identifica si el mensaje es una solicitud hacia el servicio o una respuesta que regresa al cliente.</w:t>
      </w:r>
    </w:p>
    <w:p>
      <w:pPr>
        <w:spacing w:after="24" w:line="240" w:lineRule="auto"/>
        <w:ind w:left="144" w:hanging="144"/>
      </w:pPr>
      <w:r>
        <w:rPr>
          <w:rFonts w:ascii="Arial" w:hAnsi="Arial"/>
          <w:b/>
          <w:sz w:val="18"/>
        </w:rPr>
        <w:t xml:space="preserve">2. </w:t>
      </w:r>
      <w:r>
        <w:rPr>
          <w:rFonts w:ascii="Arial" w:hAnsi="Arial"/>
          <w:sz w:val="18"/>
        </w:rPr>
        <w:t>Si es solicitud, mira la IP de destino y verifica si comienza por 203.0.113.</w:t>
      </w:r>
    </w:p>
    <w:p>
      <w:pPr>
        <w:spacing w:after="24" w:line="240" w:lineRule="auto"/>
        <w:ind w:left="144" w:hanging="144"/>
      </w:pPr>
      <w:r>
        <w:rPr>
          <w:rFonts w:ascii="Arial" w:hAnsi="Arial"/>
          <w:b/>
          <w:sz w:val="18"/>
        </w:rPr>
        <w:t xml:space="preserve">3. </w:t>
      </w:r>
      <w:r>
        <w:rPr>
          <w:rFonts w:ascii="Arial" w:hAnsi="Arial"/>
          <w:sz w:val="18"/>
        </w:rPr>
        <w:t>Si coincide, envíala a Backbone / Core. Si es respuesta hacia el cliente, envíala al Router de acceso ISP.</w:t>
      </w:r>
    </w:p>
    <w:p>
      <w:pPr>
        <w:spacing w:after="24" w:line="240" w:lineRule="auto"/>
        <w:ind w:left="144" w:hanging="144"/>
      </w:pPr>
      <w:r>
        <w:rPr>
          <w:rFonts w:ascii="Arial" w:hAnsi="Arial"/>
          <w:b/>
          <w:sz w:val="18"/>
        </w:rPr>
        <w:t xml:space="preserve">4. </w:t>
      </w:r>
      <w:r>
        <w:rPr>
          <w:rFonts w:ascii="Arial" w:hAnsi="Arial"/>
          <w:sz w:val="18"/>
        </w:rPr>
        <w:t>Si ninguna regla coincide, informa que no tienes ruta definida.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Qué debes devolver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2F0D9"/>
          </w:tcPr>
          <w:p>
            <w:pPr>
              <w:spacing w:after="0"/>
            </w:pPr>
            <w:r>
              <w:rPr>
                <w:rFonts w:ascii="Arial" w:hAnsi="Arial"/>
                <w:b/>
                <w:color w:val="375623"/>
                <w:sz w:val="19"/>
              </w:rPr>
              <w:t>RESPUESTA AL ESTUDIANTE-MENSAJE</w:t>
              <w:br/>
            </w:r>
            <w:r>
              <w:rPr>
                <w:rFonts w:ascii="Arial" w:hAnsi="Arial"/>
                <w:sz w:val="18"/>
              </w:rPr>
              <w:t>“Ruta seleccionada: [Backbone/Core o Router ISP]”.</w:t>
              <w:br/>
            </w:r>
            <w:r>
              <w:rPr>
                <w:rFonts w:ascii="Arial" w:hAnsi="Arial"/>
                <w:sz w:val="18"/>
              </w:rPr>
              <w:t>Si no existe ruta: “Sin ruta definida para esta IP”.</w:t>
            </w:r>
          </w:p>
        </w:tc>
      </w:tr>
    </w:tbl>
    <w:p>
      <w:pPr>
        <w:spacing w:after="40" w:line="240" w:lineRule="auto"/>
      </w:pPr>
      <w:r>
        <w:rPr>
          <w:rFonts w:ascii="Arial" w:hAnsi="Arial"/>
          <w:b/>
          <w:sz w:val="19"/>
        </w:rPr>
        <w:t xml:space="preserve">Siguiente estación: </w:t>
      </w:r>
      <w:r>
        <w:rPr>
          <w:rFonts w:ascii="Arial" w:hAnsi="Arial"/>
          <w:sz w:val="19"/>
        </w:rPr>
        <w:t>La estación indicada por tu tabla de rutas.</w:t>
      </w:r>
    </w:p>
    <w:p>
      <w:pPr>
        <w:spacing w:before="100" w:after="0"/>
      </w:pPr>
      <w:r>
        <w:rPr>
          <w:rFonts w:ascii="Arial" w:hAnsi="Arial"/>
          <w:b/>
          <w:sz w:val="18"/>
        </w:rPr>
        <w:t xml:space="preserve">Regla clave: </w:t>
      </w:r>
      <w:r>
        <w:rPr>
          <w:rFonts w:ascii="Arial" w:hAnsi="Arial"/>
          <w:sz w:val="18"/>
        </w:rPr>
        <w:t>realiza únicamente la función de tu componente. No intentes resolver el trabajo de otras estaciones.</w:t>
      </w:r>
    </w:p>
    <w:p>
      <w:pPr>
        <w:sectPr>
          <w:pgSz w:w="12240" w:h="15840"/>
          <w:pgMar w:top="691" w:right="792" w:bottom="648" w:left="792" w:header="720" w:footer="720" w:gutter="0"/>
          <w:cols w:space="720"/>
          <w:docGrid w:linePitch="360"/>
        </w:sectPr>
      </w:pPr>
    </w:p>
    <w:p>
      <w:pPr>
        <w:keepNext/>
        <w:spacing w:before="0" w:after="100"/>
        <w:jc w:val="left"/>
        <w:shd w:fill="1F4E78"/>
      </w:pPr>
      <w:r>
        <w:rPr>
          <w:rFonts w:ascii="Aptos" w:hAnsi="Aptos"/>
          <w:b/>
          <w:color w:val="FFFFFF"/>
          <w:sz w:val="30"/>
        </w:rPr>
        <w:t>HOJA DE TRABAJO - ESTACIÓN 06: Router de borde / Peering / IXP</w:t>
      </w:r>
    </w:p>
    <w:p>
      <w:pPr>
        <w:spacing w:after="80"/>
      </w:pPr>
      <w:r>
        <w:rPr>
          <w:rFonts w:ascii="Aptos" w:hAnsi="Aptos"/>
          <w:b/>
          <w:color w:val="1F4E78"/>
          <w:sz w:val="17"/>
        </w:rPr>
        <w:t xml:space="preserve">Uso: </w:t>
      </w:r>
      <w:r>
        <w:rPr>
          <w:rFonts w:ascii="Aptos" w:hAnsi="Aptos"/>
          <w:b w:val="0"/>
          <w:color w:val="1F1F1F"/>
          <w:sz w:val="17"/>
        </w:rPr>
        <w:t>cada vez que llegue un estudiante-mensaje, registra qué recibiste, qué hiciste, por qué lo hiciste y qué devolviste. Usa solamente las reglas de tu estación.</w:t>
      </w:r>
    </w:p>
    <w:p>
      <w:pPr>
        <w:keepNext/>
        <w:spacing w:before="20" w:after="40"/>
      </w:pPr>
      <w:r>
        <w:rPr>
          <w:rFonts w:ascii="Aptos" w:hAnsi="Aptos"/>
          <w:b/>
          <w:color w:val="1F4E78"/>
          <w:sz w:val="21"/>
        </w:rPr>
        <w:t>INFORMACIÓN LOCAL DE CONSULTA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15"/>
        <w:gridCol w:w="5515"/>
      </w:tblGrid>
      <w:tr>
        <w:tc>
          <w:tcPr>
            <w:tcW w:type="dxa" w:w="3384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Dato / regla local</w:t>
            </w:r>
          </w:p>
        </w:tc>
        <w:tc>
          <w:tcPr>
            <w:tcW w:type="dxa" w:w="6840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Valor / decisión</w:t>
            </w:r>
          </w:p>
        </w:tc>
      </w:tr>
      <w:tr>
        <w:trPr>
          <w:cantSplit/>
        </w:trPr>
        <w:tc>
          <w:tcPr>
            <w:tcW w:type="dxa" w:w="3384"/>
            <w:shd w:fill="D9EAF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/>
                <w:color w:val="1F1F1F"/>
                <w:sz w:val="14"/>
              </w:rPr>
              <w:t>Solicitud hacia 203.0.113.x</w:t>
            </w:r>
          </w:p>
        </w:tc>
        <w:tc>
          <w:tcPr>
            <w:tcW w:type="dxa" w:w="68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4"/>
              </w:rPr>
              <w:t>Backbone / Core</w:t>
            </w:r>
          </w:p>
        </w:tc>
      </w:tr>
      <w:tr>
        <w:trPr>
          <w:cantSplit/>
        </w:trPr>
        <w:tc>
          <w:tcPr>
            <w:tcW w:type="dxa" w:w="3384"/>
            <w:shd w:fill="D9EAF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/>
                <w:color w:val="1F1F1F"/>
                <w:sz w:val="14"/>
              </w:rPr>
              <w:t>Respuesta que regresa al cliente</w:t>
            </w:r>
          </w:p>
        </w:tc>
        <w:tc>
          <w:tcPr>
            <w:tcW w:type="dxa" w:w="68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4"/>
              </w:rPr>
              <w:t>Router de acceso ISP</w:t>
            </w:r>
          </w:p>
        </w:tc>
      </w:tr>
      <w:tr>
        <w:trPr>
          <w:cantSplit/>
        </w:trPr>
        <w:tc>
          <w:tcPr>
            <w:tcW w:type="dxa" w:w="3384"/>
            <w:shd w:fill="D9EAF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/>
                <w:color w:val="1F1F1F"/>
                <w:sz w:val="14"/>
              </w:rPr>
              <w:t>Otros destinos</w:t>
            </w:r>
          </w:p>
        </w:tc>
        <w:tc>
          <w:tcPr>
            <w:tcW w:type="dxa" w:w="68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4"/>
              </w:rPr>
              <w:t>Sin ruta definida en esta simulación</w:t>
            </w:r>
          </w:p>
        </w:tc>
      </w:tr>
    </w:tbl>
    <w:p>
      <w:pPr>
        <w:spacing w:before="40" w:after="60"/>
      </w:pPr>
      <w:r>
        <w:rPr>
          <w:rFonts w:ascii="Aptos" w:hAnsi="Aptos"/>
          <w:b/>
          <w:color w:val="1F4E78"/>
          <w:sz w:val="15"/>
        </w:rPr>
        <w:t xml:space="preserve">Regla de uso: </w:t>
      </w:r>
      <w:r>
        <w:rPr>
          <w:rFonts w:ascii="Aptos" w:hAnsi="Aptos"/>
          <w:b w:val="0"/>
          <w:color w:val="1F1F1F"/>
          <w:sz w:val="15"/>
        </w:rPr>
        <w:t>esta información permanece igual durante la actividad, salvo que el profesor entregue una indicación de cambio.</w:t>
      </w:r>
    </w:p>
    <w:p>
      <w:pPr>
        <w:keepNext/>
        <w:spacing w:before="20" w:after="40"/>
      </w:pPr>
      <w:r>
        <w:rPr>
          <w:rFonts w:ascii="Aptos" w:hAnsi="Aptos"/>
          <w:b/>
          <w:color w:val="1F4E78"/>
          <w:sz w:val="21"/>
        </w:rPr>
        <w:t>REGISTRO DE MENSAJES RECIBIDOS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6"/>
        <w:gridCol w:w="2206"/>
        <w:gridCol w:w="2206"/>
        <w:gridCol w:w="2206"/>
        <w:gridCol w:w="2206"/>
      </w:tblGrid>
      <w:tr>
        <w:trPr>
          <w:tblHeader w:val="true"/>
        </w:trPr>
        <w:tc>
          <w:tcPr>
            <w:tcW w:type="dxa" w:w="460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#</w:t>
            </w:r>
          </w:p>
        </w:tc>
        <w:tc>
          <w:tcPr>
            <w:tcW w:type="dxa" w:w="2088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¿Qué recibí?</w:t>
            </w:r>
          </w:p>
        </w:tc>
        <w:tc>
          <w:tcPr>
            <w:tcW w:type="dxa" w:w="2376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¿Qué hice / decidí?</w:t>
            </w:r>
          </w:p>
        </w:tc>
        <w:tc>
          <w:tcPr>
            <w:tcW w:type="dxa" w:w="2376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¿Por qué? (regla o dato local)</w:t>
            </w:r>
          </w:p>
        </w:tc>
        <w:tc>
          <w:tcPr>
            <w:tcW w:type="dxa" w:w="3096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¿Qué devolví y a dónde?</w:t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1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2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3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4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5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6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7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8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9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10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</w:tbl>
    <w:p>
      <w:pPr>
        <w:spacing w:before="40" w:after="0"/>
        <w:jc w:val="center"/>
      </w:pPr>
      <w:r>
        <w:rPr>
          <w:rFonts w:ascii="Aptos" w:hAnsi="Aptos"/>
          <w:b w:val="0"/>
          <w:color w:val="1F4E78"/>
          <w:sz w:val="14"/>
        </w:rPr>
        <w:t>Al finalizar, conserva esta hoja como evidencia de las decisiones tomadas por tu estación.</w:t>
      </w:r>
    </w:p>
    <w:sectPr w:rsidR="00FC693F" w:rsidRPr="0006063C" w:rsidSect="00034616">
      <w:pgSz w:w="12240" w:h="15840"/>
      <w:pgMar w:top="605" w:right="605" w:bottom="605" w:left="605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