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656"/>
            <w:shd w:fill="0B4F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ESTACIÓN 12: Aplicación / Backend</w:t>
            </w:r>
          </w:p>
        </w:tc>
      </w:tr>
    </w:tbl>
    <w:p>
      <w:pPr>
        <w:spacing w:after="80"/>
        <w:jc w:val="center"/>
      </w:pPr>
      <w:r>
        <w:rPr>
          <w:rFonts w:ascii="Arial" w:hAnsi="Arial"/>
          <w:b/>
          <w:color w:val="555555"/>
          <w:sz w:val="19"/>
        </w:rPr>
        <w:t>Tipo: Aplicación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Tu función principal</w:t>
      </w:r>
    </w:p>
    <w:p>
      <w:pPr>
        <w:spacing w:after="40" w:line="240" w:lineRule="auto"/>
      </w:pPr>
      <w:r>
        <w:rPr>
          <w:rFonts w:ascii="Arial" w:hAnsi="Arial"/>
          <w:sz w:val="19"/>
        </w:rPr>
        <w:t>Procesar solicitudes dinámicas y, cuando sea necesario, pedir información a la base de datos.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Términos que necesitas conocer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Backend: parte de la aplicación que ejecuta la lógica y procesa solicitudes.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Parámetro: dato incluido en una solicitud, por ejemplo id=25.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recibes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Una solicitud dinámica enviada por el servidor web.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Después, los datos devueltos por la base de datos cuando se realizó una consulta.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Información local de tu estación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Dato</w:t>
            </w:r>
          </w:p>
        </w:tc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GET /catalogo?id=X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Solicitar a Base de datos el producto con ID X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GET /estado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Responder directamente: estado = activo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Otra operación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Informar que la operación no está definida en esta actividad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Por qué estos datos son fijos: </w:t>
      </w:r>
      <w:r>
        <w:rPr>
          <w:rFonts w:ascii="Arial" w:hAnsi="Arial"/>
          <w:sz w:val="19"/>
        </w:rPr>
        <w:t>estas son las operaciones que la aplicación sabe ejecutar en esta versión inicial.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hacer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Lee la operación recibida.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Busca esa operación en la tabla local.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Si es /catalogo?id=X, extrae el valor X y solicita ese ID a la Base de datos.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Si es /estado, prepara una respuesta 200 OK con “estado: activo”.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5. </w:t>
      </w:r>
      <w:r>
        <w:rPr>
          <w:rFonts w:ascii="Arial" w:hAnsi="Arial"/>
          <w:sz w:val="18"/>
        </w:rPr>
        <w:t>Cuando la base de datos responda, usa ese resultado para preparar la respuesta y devuélvela al Servidor web.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devolver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</w:tcPr>
          <w:p>
            <w:pPr>
              <w:spacing w:after="0"/>
            </w:pPr>
            <w:r>
              <w:rPr>
                <w:rFonts w:ascii="Arial" w:hAnsi="Arial"/>
                <w:b/>
                <w:color w:val="375623"/>
                <w:sz w:val="19"/>
              </w:rPr>
              <w:t>RESPUESTA AL ESTUDIANTE-MENSAJE</w:t>
              <w:br/>
            </w:r>
            <w:r>
              <w:rPr>
                <w:rFonts w:ascii="Arial" w:hAnsi="Arial"/>
                <w:sz w:val="18"/>
              </w:rPr>
              <w:t>Para catálogo: “Consultar producto ID [X] en Base de datos”.</w:t>
              <w:br/>
            </w:r>
            <w:r>
              <w:rPr>
                <w:rFonts w:ascii="Arial" w:hAnsi="Arial"/>
                <w:sz w:val="18"/>
              </w:rPr>
              <w:t>Para estado: “200 OK - estado: activo”.</w:t>
              <w:br/>
            </w:r>
            <w:r>
              <w:rPr>
                <w:rFonts w:ascii="Arial" w:hAnsi="Arial"/>
                <w:sz w:val="18"/>
              </w:rPr>
              <w:t>Después de Base de datos: “Respuesta de aplicación preparada con el resultado recibido”.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Siguiente estación: </w:t>
      </w:r>
      <w:r>
        <w:rPr>
          <w:rFonts w:ascii="Arial" w:hAnsi="Arial"/>
          <w:sz w:val="19"/>
        </w:rPr>
        <w:t>Base de datos cuando necesita datos; Servidor web cuando la respuesta está lista.</w:t>
      </w:r>
    </w:p>
    <w:p>
      <w:pPr>
        <w:spacing w:before="100" w:after="0"/>
      </w:pPr>
      <w:r>
        <w:rPr>
          <w:rFonts w:ascii="Arial" w:hAnsi="Arial"/>
          <w:b/>
          <w:sz w:val="18"/>
        </w:rPr>
        <w:t xml:space="preserve">Regla clave: </w:t>
      </w:r>
      <w:r>
        <w:rPr>
          <w:rFonts w:ascii="Arial" w:hAnsi="Arial"/>
          <w:sz w:val="18"/>
        </w:rPr>
        <w:t>realiza únicamente la función de tu componente. No intentes resolver el trabajo de otras estaciones.</w:t>
      </w:r>
    </w:p>
    <w:p>
      <w:pPr>
        <w:sectPr>
          <w:pgSz w:w="12240" w:h="15840"/>
          <w:pgMar w:top="691" w:right="792" w:bottom="648" w:left="792" w:header="720" w:footer="720" w:gutter="0"/>
          <w:cols w:space="720"/>
          <w:docGrid w:linePitch="360"/>
        </w:sectPr>
      </w:pPr>
    </w:p>
    <w:p>
      <w:pPr>
        <w:keepNext/>
        <w:spacing w:before="0" w:after="100"/>
        <w:jc w:val="left"/>
        <w:shd w:fill="1F4E78"/>
      </w:pPr>
      <w:r>
        <w:rPr>
          <w:rFonts w:ascii="Aptos" w:hAnsi="Aptos"/>
          <w:b/>
          <w:color w:val="FFFFFF"/>
          <w:sz w:val="30"/>
        </w:rPr>
        <w:t>HOJA DE TRABAJO - ESTACIÓN 12: Aplicación / Backend</w:t>
      </w:r>
    </w:p>
    <w:p>
      <w:pPr>
        <w:spacing w:after="80"/>
      </w:pPr>
      <w:r>
        <w:rPr>
          <w:rFonts w:ascii="Aptos" w:hAnsi="Aptos"/>
          <w:b/>
          <w:color w:val="1F4E78"/>
          <w:sz w:val="17"/>
        </w:rPr>
        <w:t xml:space="preserve">Uso: </w:t>
      </w:r>
      <w:r>
        <w:rPr>
          <w:rFonts w:ascii="Aptos" w:hAnsi="Aptos"/>
          <w:b w:val="0"/>
          <w:color w:val="1F1F1F"/>
          <w:sz w:val="17"/>
        </w:rPr>
        <w:t>cada vez que llegue un estudiante-mensaje, registra qué recibiste, qué hiciste, por qué lo hiciste y qué devolviste. Usa solamente las reglas de tu estación.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INFORMACIÓN LOCAL 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338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Dato / regla local</w:t>
            </w:r>
          </w:p>
        </w:tc>
        <w:tc>
          <w:tcPr>
            <w:tcW w:type="dxa" w:w="68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Valor / decisión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GET /catalogo?id=X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Solicitar a Base de datos el producto con ID X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GET /estado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Responder: estado = activo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Otra operación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Operación no definida en esta actividad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F4E78"/>
          <w:sz w:val="15"/>
        </w:rPr>
        <w:t xml:space="preserve">Regla de uso: </w:t>
      </w:r>
      <w:r>
        <w:rPr>
          <w:rFonts w:ascii="Aptos" w:hAnsi="Aptos"/>
          <w:b w:val="0"/>
          <w:color w:val="1F1F1F"/>
          <w:sz w:val="15"/>
        </w:rPr>
        <w:t>esta información permanece igual durante la actividad, salvo que el profesor entregue una indicación de cambio.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REGISTRO DE MENSAJES RECIBIDOS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</w:tblGrid>
      <w:tr>
        <w:trPr>
          <w:tblHeader w:val="true"/>
        </w:trPr>
        <w:tc>
          <w:tcPr>
            <w:tcW w:type="dxa" w:w="46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#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recibí?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hice / decidí?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¿Por qué? (regla o dato local)</w:t>
            </w:r>
          </w:p>
        </w:tc>
        <w:tc>
          <w:tcPr>
            <w:tcW w:type="dxa" w:w="309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devolví y a dónde?</w:t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2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3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4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5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6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7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8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9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10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</w:tbl>
    <w:p>
      <w:pPr>
        <w:spacing w:before="40" w:after="0"/>
        <w:jc w:val="center"/>
      </w:pPr>
      <w:r>
        <w:rPr>
          <w:rFonts w:ascii="Aptos" w:hAnsi="Aptos"/>
          <w:b w:val="0"/>
          <w:color w:val="1F4E78"/>
          <w:sz w:val="14"/>
        </w:rPr>
        <w:t>Al finalizar, conserva esta hoja como evidencia de las decisiones tomadas por tu estación.</w:t>
      </w:r>
    </w:p>
    <w:sectPr w:rsidR="00FC693F" w:rsidRPr="0006063C" w:rsidSect="00034616">
      <w:pgSz w:w="12240" w:h="15840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