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c>
          <w:tcPr>
            <w:tcW w:type="dxa" w:w="10656"/>
            <w:shd w:fill="0B4F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0"/>
              </w:rPr>
              <w:t>ESTACIÓN 13: Base de datos / Persistencia</w:t>
            </w:r>
          </w:p>
        </w:tc>
      </w:tr>
    </w:tbl>
    <w:p>
      <w:pPr>
        <w:spacing w:after="80"/>
        <w:jc w:val="center"/>
      </w:pPr>
      <w:r>
        <w:rPr>
          <w:rFonts w:ascii="Arial" w:hAnsi="Arial"/>
          <w:b/>
          <w:color w:val="555555"/>
          <w:sz w:val="19"/>
        </w:rPr>
        <w:t>Tipo: Datos / Servicio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Tu función principal</w:t>
      </w:r>
    </w:p>
    <w:p>
      <w:pPr>
        <w:spacing w:after="40" w:line="240" w:lineRule="auto"/>
      </w:pPr>
      <w:r>
        <w:rPr>
          <w:rFonts w:ascii="Arial" w:hAnsi="Arial"/>
          <w:sz w:val="19"/>
        </w:rPr>
        <w:t>Buscar y devolver la información solicitada por la aplicación.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Términos que necesitas conocer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Base de datos: sistema que organiza y conserva información.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Registro: fila de información almacenada, por ejemplo un producto.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recibes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Un identificador de producto que la aplicación necesita consultar.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Información local de tu estación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Dato</w:t>
            </w:r>
          </w:p>
        </w:tc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Valor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ID 10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Mouse inalámbrico | 85.000 | stock 20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ID 25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Laptop académico | 2.500.000 | stock 8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ID 37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Router laboratorio | 850.000 | stock 4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ID 50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Switch 24 puertos | 1.200.000 | stock 6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Por qué estos datos son fijos: </w:t>
      </w:r>
      <w:r>
        <w:rPr>
          <w:rFonts w:ascii="Arial" w:hAnsi="Arial"/>
          <w:sz w:val="19"/>
        </w:rPr>
        <w:t>estos registros son los datos almacenados por la base de datos durante la simulación. El ID recibido determina qué registro debes buscar.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hacer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1. </w:t>
      </w:r>
      <w:r>
        <w:rPr>
          <w:rFonts w:ascii="Arial" w:hAnsi="Arial"/>
          <w:sz w:val="18"/>
        </w:rPr>
        <w:t>Lee el ID solicitado.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2. </w:t>
      </w:r>
      <w:r>
        <w:rPr>
          <w:rFonts w:ascii="Arial" w:hAnsi="Arial"/>
          <w:sz w:val="18"/>
        </w:rPr>
        <w:t>Busca ese ID en tu tabla local.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3. </w:t>
      </w:r>
      <w:r>
        <w:rPr>
          <w:rFonts w:ascii="Arial" w:hAnsi="Arial"/>
          <w:sz w:val="18"/>
        </w:rPr>
        <w:t>Si existe, devuelve exactamente los datos de esa fila.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4. </w:t>
      </w:r>
      <w:r>
        <w:rPr>
          <w:rFonts w:ascii="Arial" w:hAnsi="Arial"/>
          <w:sz w:val="18"/>
        </w:rPr>
        <w:t>Si no existe, devuelve “0 registros encontrados”.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devolver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</w:tcPr>
          <w:p>
            <w:pPr>
              <w:spacing w:after="0"/>
            </w:pPr>
            <w:r>
              <w:rPr>
                <w:rFonts w:ascii="Arial" w:hAnsi="Arial"/>
                <w:b/>
                <w:color w:val="375623"/>
                <w:sz w:val="19"/>
              </w:rPr>
              <w:t>RESPUESTA AL ESTUDIANTE-MENSAJE</w:t>
              <w:br/>
            </w:r>
            <w:r>
              <w:rPr>
                <w:rFonts w:ascii="Arial" w:hAnsi="Arial"/>
                <w:sz w:val="18"/>
              </w:rPr>
              <w:t>Si existe: “Registro encontrado: [datos de la fila]”.</w:t>
              <w:br/>
            </w:r>
            <w:r>
              <w:rPr>
                <w:rFonts w:ascii="Arial" w:hAnsi="Arial"/>
                <w:sz w:val="18"/>
              </w:rPr>
              <w:t>Si no existe: “0 registros encontrados”.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Siguiente estación: </w:t>
      </w:r>
      <w:r>
        <w:rPr>
          <w:rFonts w:ascii="Arial" w:hAnsi="Arial"/>
          <w:sz w:val="19"/>
        </w:rPr>
        <w:t>Aplicación / Backend.</w:t>
      </w:r>
    </w:p>
    <w:p>
      <w:pPr>
        <w:spacing w:before="100" w:after="0"/>
      </w:pPr>
      <w:r>
        <w:rPr>
          <w:rFonts w:ascii="Arial" w:hAnsi="Arial"/>
          <w:b/>
          <w:sz w:val="18"/>
        </w:rPr>
        <w:t xml:space="preserve">Regla clave: </w:t>
      </w:r>
      <w:r>
        <w:rPr>
          <w:rFonts w:ascii="Arial" w:hAnsi="Arial"/>
          <w:sz w:val="18"/>
        </w:rPr>
        <w:t>realiza únicamente la función de tu componente. No intentes resolver el trabajo de otras estaciones.</w:t>
      </w:r>
    </w:p>
    <w:p>
      <w:pPr>
        <w:sectPr>
          <w:pgSz w:w="12240" w:h="15840"/>
          <w:pgMar w:top="691" w:right="792" w:bottom="648" w:left="792" w:header="720" w:footer="720" w:gutter="0"/>
          <w:cols w:space="720"/>
          <w:docGrid w:linePitch="360"/>
        </w:sectPr>
      </w:pPr>
    </w:p>
    <w:p>
      <w:pPr>
        <w:keepNext/>
        <w:spacing w:before="0" w:after="100"/>
        <w:jc w:val="left"/>
        <w:shd w:fill="1F4E78"/>
      </w:pPr>
      <w:r>
        <w:rPr>
          <w:rFonts w:ascii="Aptos" w:hAnsi="Aptos"/>
          <w:b/>
          <w:color w:val="FFFFFF"/>
          <w:sz w:val="30"/>
        </w:rPr>
        <w:t>HOJA DE TRABAJO - ESTACIÓN 13: Base de datos / Persistencia</w:t>
      </w:r>
    </w:p>
    <w:p>
      <w:pPr>
        <w:spacing w:after="80"/>
      </w:pPr>
      <w:r>
        <w:rPr>
          <w:rFonts w:ascii="Aptos" w:hAnsi="Aptos"/>
          <w:b/>
          <w:color w:val="1F4E78"/>
          <w:sz w:val="17"/>
        </w:rPr>
        <w:t xml:space="preserve">Uso: </w:t>
      </w:r>
      <w:r>
        <w:rPr>
          <w:rFonts w:ascii="Aptos" w:hAnsi="Aptos"/>
          <w:b w:val="0"/>
          <w:color w:val="1F1F1F"/>
          <w:sz w:val="17"/>
        </w:rPr>
        <w:t>cada vez que llegue un estudiante-mensaje, registra qué recibiste, qué hiciste, por qué lo hiciste y qué devolviste. Usa solamente las reglas de tu estación.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INFORMACIÓN LOCAL DE CONSULTA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3384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Dato / regla local</w:t>
            </w:r>
          </w:p>
        </w:tc>
        <w:tc>
          <w:tcPr>
            <w:tcW w:type="dxa" w:w="684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Valor / decisión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ID 10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Mouse inalámbrico | 85.000 | stock 20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ID 25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Laptop académico | 2.500.000 | stock 8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ID 37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Router laboratorio | 850.000 | stock 4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ID 50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Switch 24 puertos | 1.200.000 | stock 6</w:t>
            </w:r>
          </w:p>
        </w:tc>
      </w:tr>
    </w:tbl>
    <w:p>
      <w:pPr>
        <w:spacing w:before="40" w:after="60"/>
      </w:pPr>
      <w:r>
        <w:rPr>
          <w:rFonts w:ascii="Aptos" w:hAnsi="Aptos"/>
          <w:b/>
          <w:color w:val="1F4E78"/>
          <w:sz w:val="15"/>
        </w:rPr>
        <w:t xml:space="preserve">Regla de uso: </w:t>
      </w:r>
      <w:r>
        <w:rPr>
          <w:rFonts w:ascii="Aptos" w:hAnsi="Aptos"/>
          <w:b w:val="0"/>
          <w:color w:val="1F1F1F"/>
          <w:sz w:val="15"/>
        </w:rPr>
        <w:t>esta información permanece igual durante la actividad, salvo que el profesor entregue una indicación de cambio.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REGISTRO DE MENSAJES RECIBIDOS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  <w:gridCol w:w="2206"/>
      </w:tblGrid>
      <w:tr>
        <w:trPr>
          <w:tblHeader w:val="true"/>
        </w:trPr>
        <w:tc>
          <w:tcPr>
            <w:tcW w:type="dxa" w:w="46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#</w:t>
            </w:r>
          </w:p>
        </w:tc>
        <w:tc>
          <w:tcPr>
            <w:tcW w:type="dxa" w:w="2088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recibí?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hice / decidí?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¿Por qué? (regla o dato local)</w:t>
            </w:r>
          </w:p>
        </w:tc>
        <w:tc>
          <w:tcPr>
            <w:tcW w:type="dxa" w:w="309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devolví y a dónde?</w:t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2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3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4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5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6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7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8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9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10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</w:tbl>
    <w:p>
      <w:pPr>
        <w:spacing w:before="40" w:after="0"/>
        <w:jc w:val="center"/>
      </w:pPr>
      <w:r>
        <w:rPr>
          <w:rFonts w:ascii="Aptos" w:hAnsi="Aptos"/>
          <w:b w:val="0"/>
          <w:color w:val="1F4E78"/>
          <w:sz w:val="14"/>
        </w:rPr>
        <w:t>Al finalizar, conserva esta hoja como evidencia de las decisiones tomadas por tu estación.</w:t>
      </w:r>
    </w:p>
    <w:sectPr w:rsidR="00FC693F" w:rsidRPr="0006063C" w:rsidSect="00034616">
      <w:pgSz w:w="12240" w:h="15840"/>
      <w:pgMar w:top="605" w:right="605" w:bottom="605" w:left="60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