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Chapter 3</w:t>
      </w: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Duties of members</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of IP policy changed, points to 2017 file</w:t>
      </w:r>
    </w:p>
    <w:p w:rsidR="00000000" w:rsidDel="00000000" w:rsidP="00000000" w:rsidRDefault="00000000" w:rsidRPr="00000000" w14:paraId="00000004">
      <w:pPr>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https://policy.wfu.edu/reynolda-campus-intellectual-property-policy/</w:t>
        </w:r>
      </w:hyperlink>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https://drive.google.com/file/d/1ugxQmTR5dTWTMJtjEhacDCa3p3gmFhiQ/view</w:t>
        </w:r>
      </w:hyperlink>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Chapter 5</w:t>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OLEC added to administrative committees</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Chapter 6</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of IP policy changed, but points to old 2014 policy file</w:t>
      </w:r>
    </w:p>
    <w:p w:rsidR="00000000" w:rsidDel="00000000" w:rsidP="00000000" w:rsidRDefault="00000000" w:rsidRPr="00000000" w14:paraId="0000000C">
      <w:pPr>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https://prod.wp.cdn.aws.wfu.edu/sites/193/2014/02/WFU-Patent-Policy.pdf</w:t>
        </w:r>
      </w:hyperlink>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has university as beneficiary and owner (though they verbally assured us that they “don’t mean it that way” when we asked before, and the policy only lists research related items)</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Chapter 7</w:t>
      </w:r>
    </w:p>
    <w:p w:rsidR="00000000" w:rsidDel="00000000" w:rsidP="00000000" w:rsidRDefault="00000000" w:rsidRPr="00000000" w14:paraId="00000010">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Mission</w:t>
      </w: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Lots of text edits</w:t>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Governance</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Rights granted the faculty by the constitution:</w:t>
      </w:r>
      <w:r w:rsidDel="00000000" w:rsidR="00000000" w:rsidRPr="00000000">
        <w:rPr>
          <w:rFonts w:ascii="Calibri" w:cs="Calibri" w:eastAsia="Calibri" w:hAnsi="Calibri"/>
          <w:sz w:val="24"/>
          <w:szCs w:val="24"/>
          <w:rtl w:val="0"/>
        </w:rPr>
        <w:br w:type="textWrapping"/>
        <w:t xml:space="preserve">b/d removal and basic and divisional, covered by just keeping “core”</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“regulate” replaced by “offer guidance” (which sounds a bit better actually?)</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Committees of the College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Rolled into governance</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Executive committees “will” report to the faculty, not “should”</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Advisory wording changed but still fluffy</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committees changed from non-standing to standing, and report to the Dean but are not stated to be required to report to faculty</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 hoc now a separate type of committee, appointed and reporting also just to the Dean</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Org Struc</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Dean</w:t>
      </w: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Removed mission from last sentence</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Depts and Programs</w:t>
      </w:r>
      <w:r w:rsidDel="00000000" w:rsidR="00000000" w:rsidRPr="00000000">
        <w:rPr>
          <w:rFonts w:ascii="Calibri" w:cs="Calibri" w:eastAsia="Calibri" w:hAnsi="Calibri"/>
          <w:sz w:val="24"/>
          <w:szCs w:val="24"/>
          <w:rtl w:val="0"/>
        </w:rPr>
        <w:t xml:space="preserve"> (and programs is new)</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Removed grad school</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language for additional terms of chairs</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Program Director language</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longer requires rank of professor, replaced with “typically will be”</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language to perhaps limit recommendations chairs can make to “matters within their respected department or program”</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Chairs reduction and stipend, no longer a/o; PDs dep on whether the Dean thinks they deserve either</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language allowing the Dean to appoint chairs from outside of their department; they will not have the right to vote in that department</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of departments replaced by college.wfu.edu</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Faculty evaluation–radically revised (p53)</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“Active, consistent, and extensive presence on campus is fundamental to our mission which embraces the teacher-scholar ideal.“</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New TT section</w:t>
      </w: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(1)Quality of teaching now requires superlatives (excellent, outstanding, engagement of students)</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amount &amp; quality of scholarship now “high quality body”</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Service expanded, and includes advising (is that service again now?) Switch from “public service” of old to primarily “welfare of the college” with extra-college service “secondary”</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better language for the “personal integrity” clause?</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“Departments and programs shall not permit achievement in research, scholarship, or creative work and/or service to offset poor or marginal teaching.“</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New TP section</w:t>
      </w: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Same teaching and service language as TT</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language about research:</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“Teaching professionals have no obligation to the University to engage in research, scholarly, or creative work and are not normally evaluated on such, but are expected to engage in pedagogical professional development opportunities.”</w:t>
        <w:tab/>
        <w:tab/>
        <w:tab/>
        <w:tab/>
        <w:tab/>
        <w:t xml:space="preserve">“Departments and programs shall not permit achievement in service to offset poor or marginal teaching.”</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Same ethics clause</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Distribution of effort</w:t>
      </w: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Variation by purpose</w:t>
      </w: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Removed language about promise of future growth</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Revised language of “professional achievement” paragraph both to remove NTT but increase expectations (like changing from good, effective teachers to excellent teacher-scholars)</w:t>
      </w:r>
    </w:p>
    <w:p w:rsidR="00000000" w:rsidDel="00000000" w:rsidP="00000000" w:rsidRDefault="00000000" w:rsidRPr="00000000" w14:paraId="0000003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section on COVID</w:t>
      </w:r>
    </w:p>
    <w:p w:rsidR="00000000" w:rsidDel="00000000" w:rsidP="00000000" w:rsidRDefault="00000000" w:rsidRPr="00000000" w14:paraId="0000003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T&amp;P</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Opens with language limiting voting to higher tenure only, even when the department doesn’t have the minimum 3 qualifying members</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T&amp;P guidelines</w:t>
      </w: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changes to departmental T&amp;P guidelines must now be sent to ODOC for review &amp; approval</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Programs added throughout</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Moved forward the deadline to request letters from external reviewers</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Must (not should) provide externals with department/program &amp; college T&amp;P procedures</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Dep/Prg recommendations sent to ODOC, not also Provost/President</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must still sign, but have to also review the dossier, not just discuss</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Opposition letter included in dossier</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T&amp;P Committee paragraph added. Any discrepancies they note will be at the discretion of the dean to resolve</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Dean sends a recommendation to Provost, then Provost to President</w:t>
      </w:r>
    </w:p>
    <w:p w:rsidR="00000000" w:rsidDel="00000000" w:rsidP="00000000" w:rsidRDefault="00000000" w:rsidRPr="00000000" w14:paraId="0000004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Promotion</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Removed Instructor</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Promotion “usually in 6th year) instead of 5th or 6th</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 for full raised considerably–long list of superlatives, and the option of just being solid for a longer time is explicitly not sufficient for promotion</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Promotion to full requires different external reviewers</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TP Promotion–completely new</w:t>
      </w: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higher rank can vote </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Same basic procedure as TT, including that ODOC must review and approve departmental language on requirements and procedures</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Committee on Teaching Professionals Promotion</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Same basic procedure as TT, inc. Dean discretion to decide on discrepancies</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Additional Info for faculty (was addnal policies)</w:t>
      </w: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Required to abide by academic bulletin and handbook</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Required to participate in any student assessment the college conducts</w:t>
      </w:r>
    </w:p>
    <w:p w:rsidR="00000000" w:rsidDel="00000000" w:rsidP="00000000" w:rsidRDefault="00000000" w:rsidRPr="00000000" w14:paraId="0000005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Honor system</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HEC no longer jointly administrative</w:t>
      </w:r>
    </w:p>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Change to current procedure of submitting cases?</w:t>
        <w:br w:type="textWrapping"/>
      </w:r>
      <w:r w:rsidDel="00000000" w:rsidR="00000000" w:rsidRPr="00000000">
        <w:rPr>
          <w:rFonts w:ascii="Calibri" w:cs="Calibri" w:eastAsia="Calibri" w:hAnsi="Calibri"/>
          <w:b w:val="1"/>
          <w:sz w:val="24"/>
          <w:szCs w:val="24"/>
          <w:rtl w:val="0"/>
        </w:rPr>
        <w:t xml:space="preserve">Admission, suspension…</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academic bulletin re: role of CAA</w:t>
        <w:br w:type="textWrapping"/>
      </w:r>
      <w:r w:rsidDel="00000000" w:rsidR="00000000" w:rsidRPr="00000000">
        <w:rPr>
          <w:rFonts w:ascii="Calibri" w:cs="Calibri" w:eastAsia="Calibri" w:hAnsi="Calibri"/>
          <w:b w:val="1"/>
          <w:sz w:val="24"/>
          <w:szCs w:val="24"/>
          <w:rtl w:val="0"/>
        </w:rPr>
        <w:t xml:space="preserve">Student complaints</w:t>
      </w: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Removes Dean from early stages</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Faculty-Student Engagement (old Interactions between)</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Participation in student activities/student orgs moved to later, not changed</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Advising</w:t>
      </w: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FT faculty are expected to advise</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LD</w:t>
      </w: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Assignments at chair discretion, provided the “department meets its assessed share”</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Advisers are not “not sanctioned by the university” to function as counselors but are required to have “genuine interest in each advisee” and “sufficient knowledge” to know when/where to refer</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LD training now required</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LD advisors need to be familiar with requirements for majors or pre-professional tracks using info provided by OAA and ODOC</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UD</w:t>
      </w: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Policy changes to reflect loss of paper (but doesn’t reflect current rolling declaration policy?)</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“Must be particularly vigilant” about status of advisee minors</w:t>
      </w:r>
    </w:p>
    <w:p w:rsidR="00000000" w:rsidDel="00000000" w:rsidP="00000000" w:rsidRDefault="00000000" w:rsidRPr="00000000" w14:paraId="0000006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URECA and GPS</w:t>
      </w:r>
    </w:p>
    <w:p w:rsidR="00000000" w:rsidDel="00000000" w:rsidP="00000000" w:rsidRDefault="00000000" w:rsidRPr="00000000" w14:paraId="0000006C">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Added (or moved up?)</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support services revised–College and Uni SS</w:t>
      </w:r>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Scholars Office, pre-law, prehealth, wellbeing, diversity &amp; inclusion</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7-appendix</w:t>
      </w: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CLACC to committees list</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CLACC powers &amp; duties (p73, I assume it was copied correctly from the vote-approved language but didn’t check)</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CLACC added to 4 year term group</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licy.wfu.edu/reynolda-campus-intellectual-property-policy/" TargetMode="External"/><Relationship Id="rId7" Type="http://schemas.openxmlformats.org/officeDocument/2006/relationships/hyperlink" Target="https://drive.google.com/file/d/1ugxQmTR5dTWTMJtjEhacDCa3p3gmFhiQ/view" TargetMode="External"/><Relationship Id="rId8" Type="http://schemas.openxmlformats.org/officeDocument/2006/relationships/hyperlink" Target="https://prod.wp.cdn.aws.wfu.edu/sites/193/2014/02/WFU-Patent-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