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o1niyeegumd" w:id="0"/>
      <w:bookmarkEnd w:id="0"/>
      <w:r w:rsidDel="00000000" w:rsidR="00000000" w:rsidRPr="00000000">
        <w:rPr>
          <w:rtl w:val="0"/>
        </w:rPr>
        <w:t xml:space="preserve">STATSFIRM CO.</w:t>
      </w:r>
    </w:p>
    <w:p w:rsidR="00000000" w:rsidDel="00000000" w:rsidP="00000000" w:rsidRDefault="00000000" w:rsidRPr="00000000" w14:paraId="00000002">
      <w:pPr>
        <w:pStyle w:val="Heading1"/>
        <w:rPr/>
      </w:pPr>
      <w:bookmarkStart w:colFirst="0" w:colLast="0" w:name="_umy2qhgam5vl" w:id="1"/>
      <w:bookmarkEnd w:id="1"/>
      <w:r w:rsidDel="00000000" w:rsidR="00000000" w:rsidRPr="00000000">
        <w:rPr>
          <w:rtl w:val="0"/>
        </w:rPr>
        <w:t xml:space="preserve">DOCUMENTO 07: ARQUITECTURA EMPRESARIAL Y TÉCNICA (TOGAF, DATA ARCHITECTURE &amp; SOFTWARE DEVOPS)</w:t>
      </w:r>
    </w:p>
    <w:p w:rsidR="00000000" w:rsidDel="00000000" w:rsidP="00000000" w:rsidRDefault="00000000" w:rsidRPr="00000000" w14:paraId="00000003">
      <w:pPr>
        <w:pStyle w:val="Heading2"/>
        <w:rPr/>
      </w:pPr>
      <w:bookmarkStart w:colFirst="0" w:colLast="0" w:name="_aym72x1j7gwx" w:id="2"/>
      <w:bookmarkEnd w:id="2"/>
      <w:r w:rsidDel="00000000" w:rsidR="00000000" w:rsidRPr="00000000">
        <w:rPr>
          <w:rtl w:val="0"/>
        </w:rPr>
        <w:t xml:space="preserve">Código: SFC-CORP-ARC-007 | Versión: 1.0 | Clasificación: Confidencial / Corporativo y Técnico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g7lc6ikix5g2" w:id="3"/>
      <w:bookmarkEnd w:id="3"/>
      <w:r w:rsidDel="00000000" w:rsidR="00000000" w:rsidRPr="00000000">
        <w:rPr>
          <w:rtl w:val="0"/>
        </w:rPr>
        <w:t xml:space="preserve">CONTROL DOCUMENTAL Y GESTIÓN DE VERSIONES</w:t>
      </w:r>
    </w:p>
    <w:tbl>
      <w:tblPr>
        <w:tblStyle w:val="Table1"/>
        <w:tblW w:w="21000.0" w:type="dxa"/>
        <w:jc w:val="left"/>
        <w:tblBorders>
          <w:top w:color="dee2e6" w:space="0" w:sz="8" w:val="single"/>
          <w:left w:color="000000" w:space="0" w:sz="0" w:val="nil"/>
          <w:bottom w:color="dee2e6" w:space="0" w:sz="8" w:val="single"/>
          <w:right w:color="000000" w:space="0" w:sz="0" w:val="nil"/>
          <w:insideH w:color="dee2e6"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Enterprise Architecture Group &amp; CTO</w:t>
            </w:r>
          </w:p>
        </w:tc>
        <w:tc>
          <w:tcPr/>
          <w:p w:rsidR="00000000" w:rsidDel="00000000" w:rsidP="00000000" w:rsidRDefault="00000000" w:rsidRPr="00000000" w14:paraId="0000000F">
            <w:pPr>
              <w:rPr/>
            </w:pPr>
            <w:r w:rsidDel="00000000" w:rsidR="00000000" w:rsidRPr="00000000">
              <w:rPr>
                <w:rtl w:val="0"/>
              </w:rPr>
              <w:t xml:space="preserve">Chief Transformation Officer &amp; Head of Data Architecture</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 Arquitectura Empresarial (TOGAF ADM), Datos (3 Capas), Cloud-Native y Pipeline DevOps.</w:t>
            </w:r>
          </w:p>
        </w:tc>
      </w:tr>
    </w:tbl>
    <w:p w:rsidR="00000000" w:rsidDel="00000000" w:rsidP="00000000" w:rsidRDefault="00000000" w:rsidRPr="00000000" w14:paraId="00000012">
      <w:pPr>
        <w:pStyle w:val="Heading2"/>
        <w:rPr/>
      </w:pPr>
      <w:bookmarkStart w:colFirst="0" w:colLast="0" w:name="_gpvwo9w7bxh8" w:id="4"/>
      <w:bookmarkEnd w:id="4"/>
      <w:r w:rsidDel="00000000" w:rsidR="00000000" w:rsidRPr="00000000">
        <w:rPr>
          <w:rtl w:val="0"/>
        </w:rPr>
        <w:t xml:space="preserve">ÍNDICE GENERAL DEL DOCUMENTO 07</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Marco de Arquitectura Empresarial (TOGAF ADM)</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Arquitectura de Negocio (Business Architecture) y Capacidades Estratégicas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Arquitectura Técnica de Datos: El Modelo Canónico de Tres Capas</w:t>
        <w:br w:type="textWrapping"/>
        <w:t xml:space="preserve">3.1. Capa 1: Adquisición, Ingesta y Validación</w:t>
        <w:br w:type="textWrapping"/>
        <w:t xml:space="preserve">3.2. Capa 2: Ingeniería, Curaduría y Gobernanza</w:t>
        <w:br w:type="textWrapping"/>
        <w:t xml:space="preserve">3.3. Capa 3: Analítica, Inteligencia y Decisión</w:t>
        <w:br w:type="textWrapping"/>
        <w:t xml:space="preserve">3.4. Diagrama de Topología del Flujo End-to-End de Datos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Arquitectura de Software y Cloud Engineering: El Pipeline DevOps</w:t>
        <w:br w:type="textWrapping"/>
        <w:t xml:space="preserve">4.1. Paradigma Arquitectónico: Microservicios y EDA</w:t>
        <w:br w:type="textWrapping"/>
        <w:t xml:space="preserve">4.2. Capa de Conectividad, APIs y Contratos</w:t>
        <w:br w:type="textWrapping"/>
        <w:t xml:space="preserve">4.3. Infraestructura Cloud-Native y Orquestación</w:t>
        <w:br w:type="textWrapping"/>
        <w:t xml:space="preserve">4.4. Infraestructura como Código (IaC) y FinOps</w:t>
        <w:br w:type="textWrapping"/>
        <w:t xml:space="preserve">4.5. Pipeline DevOps Integral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Sincronización e Interoperabilidad entre Datos y Software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Ciberseguridad, Observabilidad y Telemetría Operativa</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Conclusión y Transición al Documento 08</w:t>
      </w:r>
    </w:p>
    <w:p w:rsidR="00000000" w:rsidDel="00000000" w:rsidP="00000000" w:rsidRDefault="00000000" w:rsidRPr="00000000" w14:paraId="0000001A">
      <w:pPr>
        <w:pStyle w:val="Heading2"/>
        <w:rPr/>
      </w:pPr>
      <w:bookmarkStart w:colFirst="0" w:colLast="0" w:name="_q2u3xl375h15" w:id="5"/>
      <w:bookmarkEnd w:id="5"/>
      <w:r w:rsidDel="00000000" w:rsidR="00000000" w:rsidRPr="00000000">
        <w:rPr>
          <w:rtl w:val="0"/>
        </w:rPr>
        <w:t xml:space="preserve">1. RESUMEN EJECUTIVO Y MARCO DE ARQUITECTURA EMPRESARIAL (TOGAF ADM)</w:t>
      </w:r>
    </w:p>
    <w:p w:rsidR="00000000" w:rsidDel="00000000" w:rsidP="00000000" w:rsidRDefault="00000000" w:rsidRPr="00000000" w14:paraId="0000001B">
      <w:pPr>
        <w:rPr/>
      </w:pPr>
      <w:r w:rsidDel="00000000" w:rsidR="00000000" w:rsidRPr="00000000">
        <w:rPr>
          <w:rtl w:val="0"/>
        </w:rPr>
        <w:t xml:space="preserve">Statsfirm Co. adopta formalmente el estándar </w:t>
      </w:r>
      <w:r w:rsidDel="00000000" w:rsidR="00000000" w:rsidRPr="00000000">
        <w:rPr>
          <w:b w:val="1"/>
          <w:bCs w:val="1"/>
          <w:rtl w:val="0"/>
        </w:rPr>
        <w:t xml:space="preserve">TOGAF 10 ADM (Architecture Development Method)</w:t>
      </w:r>
      <w:r w:rsidDel="00000000" w:rsidR="00000000" w:rsidRPr="00000000">
        <w:rPr>
          <w:rtl w:val="0"/>
        </w:rPr>
        <w:t xml:space="preserve"> para garantizar una alineación absoluta entre la tecnología y la estrategia de negocio. Bajo este marco, la arquitectura de la organización no se concibe como un conjunto de diagramas estáticos, sino como un plano de ingeniería ejecutable. Este plano gobierna los flujos de información críticos, las aplicaciones transaccionales y las plataformas analíticas, asegurando que cada componente tecnológico sea un habilitador directo de los objetivos del cliente.</w:t>
      </w:r>
    </w:p>
    <w:p w:rsidR="00000000" w:rsidDel="00000000" w:rsidP="00000000" w:rsidRDefault="00000000" w:rsidRPr="00000000" w14:paraId="0000001C">
      <w:pPr>
        <w:pStyle w:val="Heading2"/>
        <w:rPr/>
      </w:pPr>
      <w:bookmarkStart w:colFirst="0" w:colLast="0" w:name="_lf4w2e5y3cun" w:id="6"/>
      <w:bookmarkEnd w:id="6"/>
      <w:r w:rsidDel="00000000" w:rsidR="00000000" w:rsidRPr="00000000">
        <w:rPr>
          <w:rtl w:val="0"/>
        </w:rPr>
        <w:t xml:space="preserve">2. ARQUITECTURA DE NEGOCIO Y CAPACIDADES ESTRATÉGICAS</w:t>
      </w:r>
    </w:p>
    <w:p w:rsidR="00000000" w:rsidDel="00000000" w:rsidP="00000000" w:rsidRDefault="00000000" w:rsidRPr="00000000" w14:paraId="0000001D">
      <w:pPr>
        <w:rPr/>
      </w:pPr>
      <w:r w:rsidDel="00000000" w:rsidR="00000000" w:rsidRPr="00000000">
        <w:rPr>
          <w:rtl w:val="0"/>
        </w:rPr>
        <w:t xml:space="preserve">La arquitectura de negocio define las capacidades (Business Capabilities) fundamentales que Statsfirm Co. despliega para sus clientes: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Capacidad de Captura Omnicanal</w:t>
      </w:r>
      <w:r w:rsidDel="00000000" w:rsidR="00000000" w:rsidRPr="00000000">
        <w:rPr>
          <w:rtl w:val="0"/>
        </w:rPr>
        <w:t xml:space="preserve">: Habilidad para centralizar señales de diversas fuentes sin pérdida de contexto.</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Capacidad de Confianza del Dato</w:t>
      </w:r>
      <w:r w:rsidDel="00000000" w:rsidR="00000000" w:rsidRPr="00000000">
        <w:rPr>
          <w:rtl w:val="0"/>
        </w:rPr>
        <w:t xml:space="preserve">: Garantía de integridad y calidad a través de gobernanza automatizada.</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Capacidad de Decisión Automatizada</w:t>
      </w:r>
      <w:r w:rsidDel="00000000" w:rsidR="00000000" w:rsidRPr="00000000">
        <w:rPr>
          <w:rtl w:val="0"/>
        </w:rPr>
        <w:t xml:space="preserve">: Integración de lógica de negocio y modelos predictivos en el flujo operativo.</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Capacidad de Resiliencia Operativa</w:t>
      </w:r>
      <w:r w:rsidDel="00000000" w:rsidR="00000000" w:rsidRPr="00000000">
        <w:rPr>
          <w:rtl w:val="0"/>
        </w:rPr>
        <w:t xml:space="preserve">: Estructura técnica capaz de escalar y recuperarse ante fallos de forma autónoma.</w:t>
      </w:r>
    </w:p>
    <w:p w:rsidR="00000000" w:rsidDel="00000000" w:rsidP="00000000" w:rsidRDefault="00000000" w:rsidRPr="00000000" w14:paraId="00000023">
      <w:pPr>
        <w:pStyle w:val="Heading2"/>
        <w:rPr/>
      </w:pPr>
      <w:bookmarkStart w:colFirst="0" w:colLast="0" w:name="_a9b72zr7g223" w:id="7"/>
      <w:bookmarkEnd w:id="7"/>
      <w:r w:rsidDel="00000000" w:rsidR="00000000" w:rsidRPr="00000000">
        <w:rPr>
          <w:rtl w:val="0"/>
        </w:rPr>
        <w:t xml:space="preserve">3. ARQUITECTURA TÉCNICA DE DATOS: EL MODELO CANÓNICO DE TRES CAPAS</w:t>
      </w:r>
    </w:p>
    <w:p w:rsidR="00000000" w:rsidDel="00000000" w:rsidP="00000000" w:rsidRDefault="00000000" w:rsidRPr="00000000" w14:paraId="00000024">
      <w:pPr>
        <w:rPr/>
      </w:pPr>
      <w:r w:rsidDel="00000000" w:rsidR="00000000" w:rsidRPr="00000000">
        <w:rPr>
          <w:rtl w:val="0"/>
        </w:rPr>
        <w:t xml:space="preserve">La arquitectura de datos se fundamenta en un modelo de tres capas canónicas que aseguran la trazabilidad y pureza de la información.</w:t>
      </w:r>
    </w:p>
    <w:p w:rsidR="00000000" w:rsidDel="00000000" w:rsidP="00000000" w:rsidRDefault="00000000" w:rsidRPr="00000000" w14:paraId="00000025">
      <w:pPr>
        <w:pStyle w:val="Heading3"/>
        <w:rPr/>
      </w:pPr>
      <w:bookmarkStart w:colFirst="0" w:colLast="0" w:name="_lg0y28i07eie" w:id="8"/>
      <w:bookmarkEnd w:id="8"/>
      <w:r w:rsidDel="00000000" w:rsidR="00000000" w:rsidRPr="00000000">
        <w:rPr>
          <w:rtl w:val="0"/>
        </w:rPr>
        <w:t xml:space="preserve">3.1. Capa 1: Adquisición, Ingesta y Validación (Data Acquisition &amp; Validation Layer)</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Orígenes de Datos</w:t>
      </w:r>
      <w:r w:rsidDel="00000000" w:rsidR="00000000" w:rsidRPr="00000000">
        <w:rPr>
          <w:rtl w:val="0"/>
        </w:rPr>
        <w:t xml:space="preserve">: Implementación de conectores CDC (Change Data Capture) mediante Debezium para bases de datos relacionales, consumo de APIs REST/Webhooks, integración nativa con ERPs (SAP, Oracle, NetSuite) y CRMs (Salesforce, HubSpot), ingestión de telemetría IoT vía MQTT, web scraping gobernado y procesamiento de archivos (JSON, Parquet, CSV).</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Mecanismos de Validación</w:t>
      </w:r>
      <w:r w:rsidDel="00000000" w:rsidR="00000000" w:rsidRPr="00000000">
        <w:rPr>
          <w:rtl w:val="0"/>
        </w:rPr>
        <w:t xml:space="preserve">: Los datos son sujetos a contratos de datos (Data Contracts) y validación de esquemas estricta con Great Expectations y Protobuf. Los registros que fallan estas validaciones se desvían a Dead Letter Queues (DLQ) en Apache Kafka para su gestión y alerta.</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Zona Raw</w:t>
      </w:r>
      <w:r w:rsidDel="00000000" w:rsidR="00000000" w:rsidRPr="00000000">
        <w:rPr>
          <w:rtl w:val="0"/>
        </w:rPr>
        <w:t xml:space="preserve">: Almacenamiento de datos inmutables en formatos Bronze dentro de objetos cloud (S3 / GCS / Azure Blob) con particionamiento temporal riguroso.</w:t>
      </w:r>
    </w:p>
    <w:p w:rsidR="00000000" w:rsidDel="00000000" w:rsidP="00000000" w:rsidRDefault="00000000" w:rsidRPr="00000000" w14:paraId="00000029">
      <w:pPr>
        <w:pStyle w:val="Heading3"/>
        <w:rPr/>
      </w:pPr>
      <w:bookmarkStart w:colFirst="0" w:colLast="0" w:name="_pwnaxbpakhls" w:id="9"/>
      <w:bookmarkEnd w:id="9"/>
      <w:r w:rsidDel="00000000" w:rsidR="00000000" w:rsidRPr="00000000">
        <w:rPr>
          <w:rtl w:val="0"/>
        </w:rPr>
        <w:t xml:space="preserve">3.2. Capa 2: Ingeniería, Curaduría y Gobernanza (Data Engineering &amp; Governance Layer)</w:t>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Procesamiento y Modelado</w:t>
      </w:r>
      <w:r w:rsidDel="00000000" w:rsidR="00000000" w:rsidRPr="00000000">
        <w:rPr>
          <w:rtl w:val="0"/>
        </w:rPr>
        <w:t xml:space="preserve">: Utilización de motores Spark/Databricks para transformaciones masivas y dbt para lógica declarativa. Se realiza estandarización, desduplicación de claves de negocio y gestión de Master Data Management (MDM).</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Almacenamiento Lakehouse</w:t>
      </w:r>
      <w:r w:rsidDel="00000000" w:rsidR="00000000" w:rsidRPr="00000000">
        <w:rPr>
          <w:rtl w:val="0"/>
        </w:rPr>
        <w:t xml:space="preserve">: Implementación de la Capa Silver mediante formatos de tabla transaccionales (Delta Lake / Apache Iceberg) con propiedades ACID.</w:t>
      </w:r>
    </w:p>
    <w:p w:rsidR="00000000" w:rsidDel="00000000" w:rsidP="00000000" w:rsidRDefault="00000000" w:rsidRPr="00000000" w14:paraId="0000002C">
      <w:pPr>
        <w:numPr>
          <w:ilvl w:val="0"/>
          <w:numId w:val="5"/>
        </w:numPr>
        <w:ind w:left="720" w:hanging="360"/>
      </w:pPr>
      <w:r w:rsidDel="00000000" w:rsidR="00000000" w:rsidRPr="00000000">
        <w:rPr>
          <w:b w:val="1"/>
          <w:bCs w:val="1"/>
          <w:rtl w:val="0"/>
        </w:rPr>
        <w:t xml:space="preserve">Gobernanza Activa</w:t>
      </w:r>
      <w:r w:rsidDel="00000000" w:rsidR="00000000" w:rsidRPr="00000000">
        <w:rPr>
          <w:rtl w:val="0"/>
        </w:rPr>
        <w:t xml:space="preserve">: Registro de linaje automático con OpenLineage/DataHub. Los catálogos de datos permiten búsquedas semánticas y auditorías de calidad continuas, aplicando políticas de enmascaramiento dinámico para datos PII (Personally Identifiable Information).</w:t>
      </w:r>
    </w:p>
    <w:p w:rsidR="00000000" w:rsidDel="00000000" w:rsidP="00000000" w:rsidRDefault="00000000" w:rsidRPr="00000000" w14:paraId="0000002D">
      <w:pPr>
        <w:pStyle w:val="Heading3"/>
        <w:rPr/>
      </w:pPr>
      <w:bookmarkStart w:colFirst="0" w:colLast="0" w:name="_k287zak6uwfp" w:id="10"/>
      <w:bookmarkEnd w:id="10"/>
      <w:r w:rsidDel="00000000" w:rsidR="00000000" w:rsidRPr="00000000">
        <w:rPr>
          <w:rtl w:val="0"/>
        </w:rPr>
        <w:t xml:space="preserve">3.3. Capa 3: Analítica, Inteligencia y Decisión (Analytics, Intelligence &amp; Decision Layer)</w:t>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Capa Gold y Modelos Dimensionales</w:t>
      </w:r>
      <w:r w:rsidDel="00000000" w:rsidR="00000000" w:rsidRPr="00000000">
        <w:rPr>
          <w:rtl w:val="0"/>
        </w:rPr>
        <w:t xml:space="preserve">: Estructuras en estrella y copo de nieve optimizadas para alto rendimiento en Snowflake, BigQuery o Databricks SQL.</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Feature Store &amp; Model Serving</w:t>
      </w:r>
      <w:r w:rsidDel="00000000" w:rsidR="00000000" w:rsidRPr="00000000">
        <w:rPr>
          <w:rtl w:val="0"/>
        </w:rPr>
        <w:t xml:space="preserve">: Uso de Feast como repositorio centralizado de variables (features) para entrenamiento y producción de modelos de Machine Learning, desplegados como microservicios de inferencia en tiempo real.</w:t>
      </w:r>
    </w:p>
    <w:p w:rsidR="00000000" w:rsidDel="00000000" w:rsidP="00000000" w:rsidRDefault="00000000" w:rsidRPr="00000000" w14:paraId="00000030">
      <w:pPr>
        <w:numPr>
          <w:ilvl w:val="0"/>
          <w:numId w:val="5"/>
        </w:numPr>
        <w:ind w:left="720" w:hanging="360"/>
      </w:pPr>
      <w:r w:rsidDel="00000000" w:rsidR="00000000" w:rsidRPr="00000000">
        <w:rPr>
          <w:b w:val="1"/>
          <w:bCs w:val="1"/>
          <w:rtl w:val="0"/>
        </w:rPr>
        <w:t xml:space="preserve">Consolas BI y Decisión</w:t>
      </w:r>
      <w:r w:rsidDel="00000000" w:rsidR="00000000" w:rsidRPr="00000000">
        <w:rPr>
          <w:rtl w:val="0"/>
        </w:rPr>
        <w:t xml:space="preserve">: Capas semánticas centralizadas que alimentan dashboards en Power BI, Looker y Tableau, permitiendo simulaciones "what-if" y optimización matemática.</w:t>
      </w:r>
    </w:p>
    <w:p w:rsidR="00000000" w:rsidDel="00000000" w:rsidP="00000000" w:rsidRDefault="00000000" w:rsidRPr="00000000" w14:paraId="00000031">
      <w:pPr>
        <w:pStyle w:val="Heading3"/>
        <w:rPr/>
      </w:pPr>
      <w:bookmarkStart w:colFirst="0" w:colLast="0" w:name="_657toungpn5b" w:id="11"/>
      <w:bookmarkEnd w:id="11"/>
      <w:r w:rsidDel="00000000" w:rsidR="00000000" w:rsidRPr="00000000">
        <w:rPr>
          <w:rtl w:val="0"/>
        </w:rPr>
        <w:t xml:space="preserve">3.4. Diagrama de Topología del Flujo End-to-End de Datos</w:t>
      </w:r>
    </w:p>
    <w:p w:rsidR="00000000" w:rsidDel="00000000" w:rsidP="00000000" w:rsidRDefault="00000000" w:rsidRPr="00000000" w14:paraId="00000032">
      <w:pPr>
        <w:rPr/>
      </w:pPr>
      <w:r w:rsidDel="00000000" w:rsidR="00000000" w:rsidRPr="00000000">
        <w:rPr>
          <w:rtl w:val="0"/>
        </w:rPr>
        <w:t xml:space="preserve">[ FUENTES DE DATOS ]  -&gt;  [ CAPA 1: INGESTA ]  -&gt;  [ CAPA 2: CURADURÍA ]  -&gt;  [ CAPA 3: DECISIÓN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(ERP, CRM, IoT, CDC)      (Validación / DLQ)       (Spark / Lakehouse)       (Gold / ML / BI)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v                         v                        v                        v</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Raw/Bronze ]            [ Dead Letter ]          [ Silver/Linaje ]         [ Modelos/Inferencia ]</w:t>
      </w:r>
    </w:p>
    <w:p w:rsidR="00000000" w:rsidDel="00000000" w:rsidP="00000000" w:rsidRDefault="00000000" w:rsidRPr="00000000" w14:paraId="0000003B">
      <w:pPr>
        <w:pStyle w:val="Heading2"/>
        <w:rPr/>
      </w:pPr>
      <w:bookmarkStart w:colFirst="0" w:colLast="0" w:name="_1betezbbv2ip" w:id="12"/>
      <w:bookmarkEnd w:id="12"/>
      <w:r w:rsidDel="00000000" w:rsidR="00000000" w:rsidRPr="00000000">
        <w:rPr>
          <w:rtl w:val="0"/>
        </w:rPr>
        <w:t xml:space="preserve">4. ARQUITECTURA DE SOFTWARE Y CLOUD ENGINEERING: EL PIPELINE DEVOPS</w:t>
      </w:r>
    </w:p>
    <w:p w:rsidR="00000000" w:rsidDel="00000000" w:rsidP="00000000" w:rsidRDefault="00000000" w:rsidRPr="00000000" w14:paraId="0000003C">
      <w:pPr>
        <w:pStyle w:val="Heading3"/>
        <w:rPr/>
      </w:pPr>
      <w:bookmarkStart w:colFirst="0" w:colLast="0" w:name="_4274s5s33my" w:id="13"/>
      <w:bookmarkEnd w:id="13"/>
      <w:r w:rsidDel="00000000" w:rsidR="00000000" w:rsidRPr="00000000">
        <w:rPr>
          <w:rtl w:val="0"/>
        </w:rPr>
        <w:t xml:space="preserve">4.1. Paradigma Arquitectónico: Microservicios y EDA</w:t>
      </w:r>
    </w:p>
    <w:p w:rsidR="00000000" w:rsidDel="00000000" w:rsidP="00000000" w:rsidRDefault="00000000" w:rsidRPr="00000000" w14:paraId="0000003D">
      <w:pPr>
        <w:rPr/>
      </w:pPr>
      <w:r w:rsidDel="00000000" w:rsidR="00000000" w:rsidRPr="00000000">
        <w:rPr>
          <w:rtl w:val="0"/>
        </w:rPr>
        <w:t xml:space="preserve">Se adopta una arquitectura de microservicios distribuidos y orientada a eventos (Event-Driven Architecture). El desacoplamiento se logra mediante Apache Kafka o RabbitMQ, utilizando el patrón Outbox para garantizar la consistencia transaccional entre servicios.</w:t>
      </w:r>
    </w:p>
    <w:p w:rsidR="00000000" w:rsidDel="00000000" w:rsidP="00000000" w:rsidRDefault="00000000" w:rsidRPr="00000000" w14:paraId="0000003E">
      <w:pPr>
        <w:pStyle w:val="Heading3"/>
        <w:rPr/>
      </w:pPr>
      <w:bookmarkStart w:colFirst="0" w:colLast="0" w:name="_9k02fofg4r7a" w:id="14"/>
      <w:bookmarkEnd w:id="14"/>
      <w:r w:rsidDel="00000000" w:rsidR="00000000" w:rsidRPr="00000000">
        <w:rPr>
          <w:rtl w:val="0"/>
        </w:rPr>
        <w:t xml:space="preserve">4.2. Capa de APIs y Contratos de Servicio</w:t>
      </w:r>
    </w:p>
    <w:p w:rsidR="00000000" w:rsidDel="00000000" w:rsidP="00000000" w:rsidRDefault="00000000" w:rsidRPr="00000000" w14:paraId="0000003F">
      <w:pPr>
        <w:rPr/>
      </w:pPr>
      <w:r w:rsidDel="00000000" w:rsidR="00000000" w:rsidRPr="00000000">
        <w:rPr>
          <w:rtl w:val="0"/>
        </w:rPr>
        <w:t xml:space="preserve">La exposición de servicios se gestiona vía API Gateway (Kong/Envoy). Se implementa autenticación JWT y mTLS. Los endpoints se distribuyen en RESTful para consumo externo, GraphQL para consultas complejas y gRPC para comunicaciones internas de ultra baja latencia.</w:t>
      </w:r>
    </w:p>
    <w:p w:rsidR="00000000" w:rsidDel="00000000" w:rsidP="00000000" w:rsidRDefault="00000000" w:rsidRPr="00000000" w14:paraId="00000040">
      <w:pPr>
        <w:pStyle w:val="Heading3"/>
        <w:rPr/>
      </w:pPr>
      <w:bookmarkStart w:colFirst="0" w:colLast="0" w:name="_dq3ojektghi2" w:id="15"/>
      <w:bookmarkEnd w:id="15"/>
      <w:r w:rsidDel="00000000" w:rsidR="00000000" w:rsidRPr="00000000">
        <w:rPr>
          <w:rtl w:val="0"/>
        </w:rPr>
        <w:t xml:space="preserve">4.3. Infraestructura Cloud-Native y Orquestación</w:t>
      </w:r>
    </w:p>
    <w:p w:rsidR="00000000" w:rsidDel="00000000" w:rsidP="00000000" w:rsidRDefault="00000000" w:rsidRPr="00000000" w14:paraId="00000041">
      <w:pPr>
        <w:rPr/>
      </w:pPr>
      <w:r w:rsidDel="00000000" w:rsidR="00000000" w:rsidRPr="00000000">
        <w:rPr>
          <w:rtl w:val="0"/>
        </w:rPr>
        <w:t xml:space="preserve">Uso de clústeres Kubernetes gestionados (EKS, GKE, AKS) con autoescalado horizontal (HPA). Se despliega Service Mesh con Istio para garantizar la seguridad de la red y la observabilidad profunda.</w:t>
      </w:r>
    </w:p>
    <w:p w:rsidR="00000000" w:rsidDel="00000000" w:rsidP="00000000" w:rsidRDefault="00000000" w:rsidRPr="00000000" w14:paraId="00000042">
      <w:pPr>
        <w:pStyle w:val="Heading3"/>
        <w:rPr/>
      </w:pPr>
      <w:bookmarkStart w:colFirst="0" w:colLast="0" w:name="_8k9u0x20qcl7" w:id="16"/>
      <w:bookmarkEnd w:id="16"/>
      <w:r w:rsidDel="00000000" w:rsidR="00000000" w:rsidRPr="00000000">
        <w:rPr>
          <w:rtl w:val="0"/>
        </w:rPr>
        <w:t xml:space="preserve">4.4. Infraestructura como Código (IaC) y FinOps</w:t>
      </w:r>
    </w:p>
    <w:p w:rsidR="00000000" w:rsidDel="00000000" w:rsidP="00000000" w:rsidRDefault="00000000" w:rsidRPr="00000000" w14:paraId="00000043">
      <w:pPr>
        <w:rPr/>
      </w:pPr>
      <w:r w:rsidDel="00000000" w:rsidR="00000000" w:rsidRPr="00000000">
        <w:rPr>
          <w:rtl w:val="0"/>
        </w:rPr>
        <w:t xml:space="preserve">Toda la infraestructura se define de forma declarativa mediante Terraform. El enfoque FinOps monitorea los costos unitarios en la nube para optimizar el gasto y evitar el sobredimensionamiento de recursos.</w:t>
      </w:r>
    </w:p>
    <w:p w:rsidR="00000000" w:rsidDel="00000000" w:rsidP="00000000" w:rsidRDefault="00000000" w:rsidRPr="00000000" w14:paraId="00000044">
      <w:pPr>
        <w:pStyle w:val="Heading3"/>
        <w:rPr/>
      </w:pPr>
      <w:bookmarkStart w:colFirst="0" w:colLast="0" w:name="_nwdbmt4ww5k6" w:id="17"/>
      <w:bookmarkEnd w:id="17"/>
      <w:r w:rsidDel="00000000" w:rsidR="00000000" w:rsidRPr="00000000">
        <w:rPr>
          <w:rtl w:val="0"/>
        </w:rPr>
        <w:t xml:space="preserve">4.5. Pipeline DevOps Integral (Fase 5)</w:t>
      </w:r>
    </w:p>
    <w:p w:rsidR="00000000" w:rsidDel="00000000" w:rsidP="00000000" w:rsidRDefault="00000000" w:rsidRPr="00000000" w14:paraId="00000045">
      <w:pPr>
        <w:rPr/>
      </w:pPr>
      <w:r w:rsidDel="00000000" w:rsidR="00000000" w:rsidRPr="00000000">
        <w:rPr>
          <w:rtl w:val="0"/>
        </w:rPr>
        <w:t xml:space="preserve">El ciclo de vida del desarrollo se compone de 10 etapas continuas: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Discovery</w:t>
      </w:r>
      <w:r w:rsidDel="00000000" w:rsidR="00000000" w:rsidRPr="00000000">
        <w:rPr>
          <w:rtl w:val="0"/>
        </w:rPr>
        <w:t xml:space="preserve">: Análisis de viabilidad y alineación estratégica.</w:t>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Requirements</w:t>
      </w:r>
      <w:r w:rsidDel="00000000" w:rsidR="00000000" w:rsidRPr="00000000">
        <w:rPr>
          <w:rtl w:val="0"/>
        </w:rPr>
        <w:t xml:space="preserve">: Definición técnica y funcional detallada.</w:t>
      </w:r>
    </w:p>
    <w:p w:rsidR="00000000" w:rsidDel="00000000" w:rsidP="00000000" w:rsidRDefault="00000000" w:rsidRPr="00000000" w14:paraId="00000049">
      <w:pPr>
        <w:numPr>
          <w:ilvl w:val="0"/>
          <w:numId w:val="4"/>
        </w:numPr>
        <w:ind w:left="720" w:hanging="360"/>
      </w:pPr>
      <w:r w:rsidDel="00000000" w:rsidR="00000000" w:rsidRPr="00000000">
        <w:rPr>
          <w:b w:val="1"/>
          <w:bCs w:val="1"/>
          <w:rtl w:val="0"/>
        </w:rPr>
        <w:t xml:space="preserve">Architecture</w:t>
      </w:r>
      <w:r w:rsidDel="00000000" w:rsidR="00000000" w:rsidRPr="00000000">
        <w:rPr>
          <w:rtl w:val="0"/>
        </w:rPr>
        <w:t xml:space="preserve">: Diseño de esquemas y contratos de servicios.</w:t>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Development</w:t>
      </w:r>
      <w:r w:rsidDel="00000000" w:rsidR="00000000" w:rsidRPr="00000000">
        <w:rPr>
          <w:rtl w:val="0"/>
        </w:rPr>
        <w:t xml:space="preserve">: Construcción bajo estándares de código limpio.</w:t>
      </w:r>
    </w:p>
    <w:p w:rsidR="00000000" w:rsidDel="00000000" w:rsidP="00000000" w:rsidRDefault="00000000" w:rsidRPr="00000000" w14:paraId="0000004B">
      <w:pPr>
        <w:numPr>
          <w:ilvl w:val="0"/>
          <w:numId w:val="4"/>
        </w:numPr>
        <w:ind w:left="720" w:hanging="360"/>
      </w:pPr>
      <w:r w:rsidDel="00000000" w:rsidR="00000000" w:rsidRPr="00000000">
        <w:rPr>
          <w:b w:val="1"/>
          <w:bCs w:val="1"/>
          <w:rtl w:val="0"/>
        </w:rPr>
        <w:t xml:space="preserve">Testing</w:t>
      </w:r>
      <w:r w:rsidDel="00000000" w:rsidR="00000000" w:rsidRPr="00000000">
        <w:rPr>
          <w:rtl w:val="0"/>
        </w:rPr>
        <w:t xml:space="preserve">: Pruebas unitarias, de integración y de seguridad.</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CI/CD</w:t>
      </w:r>
      <w:r w:rsidDel="00000000" w:rsidR="00000000" w:rsidRPr="00000000">
        <w:rPr>
          <w:rtl w:val="0"/>
        </w:rPr>
        <w:t xml:space="preserve">: Integración y despliegue continuo automatizado.</w:t>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Deployment</w:t>
      </w:r>
      <w:r w:rsidDel="00000000" w:rsidR="00000000" w:rsidRPr="00000000">
        <w:rPr>
          <w:rtl w:val="0"/>
        </w:rPr>
        <w:t xml:space="preserve">: Lanzamiento en entornos productivos orquestados.</w:t>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Monitoring</w:t>
      </w:r>
      <w:r w:rsidDel="00000000" w:rsidR="00000000" w:rsidRPr="00000000">
        <w:rPr>
          <w:rtl w:val="0"/>
        </w:rPr>
        <w:t xml:space="preserve">: Supervisión proactiva de salud del sistema.</w:t>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Continuous Improvement</w:t>
      </w:r>
      <w:r w:rsidDel="00000000" w:rsidR="00000000" w:rsidRPr="00000000">
        <w:rPr>
          <w:rtl w:val="0"/>
        </w:rPr>
        <w:t xml:space="preserve">: Optimización basada en métricas de rendimiento.</w:t>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Feedback Loop</w:t>
      </w:r>
      <w:r w:rsidDel="00000000" w:rsidR="00000000" w:rsidRPr="00000000">
        <w:rPr>
          <w:rtl w:val="0"/>
        </w:rPr>
        <w:t xml:space="preserve">: Retroalimentación directa para el inicio de nuevos ciclos.</w:t>
      </w:r>
    </w:p>
    <w:p w:rsidR="00000000" w:rsidDel="00000000" w:rsidP="00000000" w:rsidRDefault="00000000" w:rsidRPr="00000000" w14:paraId="00000051">
      <w:pPr>
        <w:pStyle w:val="Heading2"/>
        <w:rPr/>
      </w:pPr>
      <w:bookmarkStart w:colFirst="0" w:colLast="0" w:name="_fex20j2npi60" w:id="18"/>
      <w:bookmarkEnd w:id="18"/>
      <w:r w:rsidDel="00000000" w:rsidR="00000000" w:rsidRPr="00000000">
        <w:rPr>
          <w:rtl w:val="0"/>
        </w:rPr>
        <w:t xml:space="preserve">5. SINCRONIZACIÓN E INTEROPERABILIDAD ENTRE DATOS Y SOFTWARE</w:t>
      </w:r>
    </w:p>
    <w:p w:rsidR="00000000" w:rsidDel="00000000" w:rsidP="00000000" w:rsidRDefault="00000000" w:rsidRPr="00000000" w14:paraId="00000052">
      <w:pPr>
        <w:rPr/>
      </w:pPr>
      <w:r w:rsidDel="00000000" w:rsidR="00000000" w:rsidRPr="00000000">
        <w:rPr>
          <w:rtl w:val="0"/>
        </w:rPr>
        <w:t xml:space="preserve">La arquitectura de Statsfirm Co. funciona como un bucle cerrado: el software transaccional genera eventos que alimentan la Capa 1 de datos. Tras el procesamiento en las capas 2 y 3, los modelos analíticos e inferencias generadas se reintegran en las aplicaciones de software, permitiendo una personalización y automatización de operaciones en tiempo real.</w:t>
      </w:r>
    </w:p>
    <w:p w:rsidR="00000000" w:rsidDel="00000000" w:rsidP="00000000" w:rsidRDefault="00000000" w:rsidRPr="00000000" w14:paraId="00000053">
      <w:pPr>
        <w:pStyle w:val="Heading2"/>
        <w:rPr/>
      </w:pPr>
      <w:bookmarkStart w:colFirst="0" w:colLast="0" w:name="_fdeta1x5vfiv" w:id="19"/>
      <w:bookmarkEnd w:id="19"/>
      <w:r w:rsidDel="00000000" w:rsidR="00000000" w:rsidRPr="00000000">
        <w:rPr>
          <w:rtl w:val="0"/>
        </w:rPr>
        <w:t xml:space="preserve">6. CIBERSEGURIDAD, OBSERVABILIDAD Y TELEMETRÍA OPERATIVA</w:t>
      </w:r>
    </w:p>
    <w:p w:rsidR="00000000" w:rsidDel="00000000" w:rsidP="00000000" w:rsidRDefault="00000000" w:rsidRPr="00000000" w14:paraId="00000054">
      <w:pPr>
        <w:rPr/>
      </w:pPr>
      <w:r w:rsidDel="00000000" w:rsidR="00000000" w:rsidRPr="00000000">
        <w:rPr>
          <w:rtl w:val="0"/>
        </w:rPr>
        <w:t xml:space="preserve">Se implementa un enfoque de </w:t>
      </w:r>
      <w:r w:rsidDel="00000000" w:rsidR="00000000" w:rsidRPr="00000000">
        <w:rPr>
          <w:b w:val="1"/>
          <w:bCs w:val="1"/>
          <w:rtl w:val="0"/>
        </w:rPr>
        <w:t xml:space="preserve">Zero Trust</w:t>
      </w:r>
      <w:r w:rsidDel="00000000" w:rsidR="00000000" w:rsidRPr="00000000">
        <w:rPr>
          <w:rtl w:val="0"/>
        </w:rPr>
        <w:t xml:space="preserve">, basado en la verificación explícita de cada solicitud, el principio de mínimo privilegio y la asunción de brecha de seguridad. La observabilidad se rige por los tres pilares de OpenTelemetry: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Métricas</w:t>
      </w:r>
      <w:r w:rsidDel="00000000" w:rsidR="00000000" w:rsidRPr="00000000">
        <w:rPr>
          <w:rtl w:val="0"/>
        </w:rPr>
        <w:t xml:space="preserve">: Agregadas mediante Prometheus y visualizadas en Grafana.</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Logs</w:t>
      </w:r>
      <w:r w:rsidDel="00000000" w:rsidR="00000000" w:rsidRPr="00000000">
        <w:rPr>
          <w:rtl w:val="0"/>
        </w:rPr>
        <w:t xml:space="preserve">: Centralizados y analizados en Loki.</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Trazas</w:t>
      </w:r>
      <w:r w:rsidDel="00000000" w:rsidR="00000000" w:rsidRPr="00000000">
        <w:rPr>
          <w:rtl w:val="0"/>
        </w:rPr>
        <w:t xml:space="preserve">: Seguimiento distribuido con Jaeger para identificar cuellos de botella.</w:t>
      </w:r>
    </w:p>
    <w:p w:rsidR="00000000" w:rsidDel="00000000" w:rsidP="00000000" w:rsidRDefault="00000000" w:rsidRPr="00000000" w14:paraId="00000059">
      <w:pPr>
        <w:pStyle w:val="Heading2"/>
        <w:rPr/>
      </w:pPr>
      <w:bookmarkStart w:colFirst="0" w:colLast="0" w:name="_v9n0w94asq3k" w:id="20"/>
      <w:bookmarkEnd w:id="20"/>
      <w:r w:rsidDel="00000000" w:rsidR="00000000" w:rsidRPr="00000000">
        <w:rPr>
          <w:rtl w:val="0"/>
        </w:rPr>
        <w:t xml:space="preserve">7. CONCLUSIÓN Y TRANSICIÓN AL DOCUMENTO 08</w:t>
      </w:r>
    </w:p>
    <w:p w:rsidR="00000000" w:rsidDel="00000000" w:rsidP="00000000" w:rsidRDefault="00000000" w:rsidRPr="00000000" w14:paraId="0000005A">
      <w:pPr>
        <w:rPr/>
      </w:pPr>
      <w:r w:rsidDel="00000000" w:rsidR="00000000" w:rsidRPr="00000000">
        <w:rPr>
          <w:rtl w:val="0"/>
        </w:rPr>
        <w:t xml:space="preserve">El presente documento establece los cimientos técnicos y estructurales de Statsfirm Co. Esta arquitectura técnica proporciona el soporte necesario para la ejecución de procesos de negocio complejos, los cuales serán detallados y modelados bajo el estándar BPMN 2.0 en el Documento 08 (Ingeniería de Procesos y Diseño BPMN).</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c1e"/>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2c3e50"/>
      <w:sz w:val="32"/>
      <w:szCs w:val="32"/>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34495e"/>
      <w:sz w:val="30"/>
      <w:szCs w:val="30"/>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455a64"/>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1c1e"/>
      <w:sz w:val="48"/>
      <w:szCs w:val="48"/>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1"/>
      <w:iCs w:val="1"/>
      <w:color w:val="5f6368"/>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2c3e50"/>
        <w:sz w:val="22"/>
        <w:szCs w:val="22"/>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