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JetBrainsMono-bold.ttf" ContentType="application/x-font-ttf"/>
  <Override PartName="/word/fonts/JetBrainsMono-boldItalic.ttf" ContentType="application/x-font-ttf"/>
  <Override PartName="/word/fonts/JetBrainsMono-italic.ttf" ContentType="application/x-font-ttf"/>
  <Override PartName="/word/fonts/JetBrainsMono-regular.ttf" ContentType="application/x-font-ttf"/>
  <Override PartName="/word/fonts/SpaceGrotesk-bold.ttf" ContentType="application/x-font-ttf"/>
  <Override PartName="/word/fonts/SpaceGrotesk-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gy4rtxzorhu"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2l42df3ec42q" w:id="1"/>
      <w:bookmarkEnd w:id="1"/>
      <w:r w:rsidDel="00000000" w:rsidR="00000000" w:rsidRPr="00000000">
        <w:rPr>
          <w:rtl w:val="0"/>
        </w:rPr>
        <w:t xml:space="preserve">DOCUMENTO 01.B: DIVISIONES OPERATIVAS, AGROINNOVA LAB, ECOSISTEMA SAAS E IDENTIDAD VISUAL</w:t>
      </w:r>
    </w:p>
    <w:p w:rsidR="00000000" w:rsidDel="00000000" w:rsidP="00000000" w:rsidRDefault="00000000" w:rsidRPr="00000000" w14:paraId="00000003">
      <w:pPr>
        <w:pStyle w:val="Heading2"/>
        <w:rPr/>
      </w:pPr>
      <w:bookmarkStart w:colFirst="0" w:colLast="0" w:name="_t4u6ab25kv0f" w:id="2"/>
      <w:bookmarkEnd w:id="2"/>
      <w:r w:rsidDel="00000000" w:rsidR="00000000" w:rsidRPr="00000000">
        <w:rPr>
          <w:rtl w:val="0"/>
        </w:rPr>
        <w:t xml:space="preserve">Código: AST-CORP-ID-001B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536x2laksdd2" w:id="3"/>
      <w:bookmarkEnd w:id="3"/>
      <w:r w:rsidDel="00000000" w:rsidR="00000000" w:rsidRPr="00000000">
        <w:rPr>
          <w:rtl w:val="0"/>
        </w:rPr>
        <w:t xml:space="preserve">CONTROL DOCUMENTAL Y GESTIÓN DE VERSIONES</w:t>
      </w:r>
    </w:p>
    <w:tbl>
      <w:tblPr>
        <w:tblStyle w:val="Table1"/>
        <w:tblW w:w="21000.0" w:type="dxa"/>
        <w:jc w:val="left"/>
        <w:tblBorders>
          <w:top w:color="e4e4e7" w:space="0" w:sz="8" w:val="single"/>
          <w:left w:color="000000" w:space="0" w:sz="0" w:val="nil"/>
          <w:bottom w:color="e4e4e7" w:space="0" w:sz="8" w:val="single"/>
          <w:right w:color="000000" w:space="0" w:sz="0" w:val="nil"/>
          <w:insideH w:color="e4e4e7" w:space="0" w:sz="4" w:val="single"/>
          <w:insideV w:color="e4e4e7"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Strategy Committee &amp; Chief Design Officer</w:t>
            </w:r>
          </w:p>
        </w:tc>
        <w:tc>
          <w:tcPr/>
          <w:p w:rsidR="00000000" w:rsidDel="00000000" w:rsidP="00000000" w:rsidRDefault="00000000" w:rsidRPr="00000000" w14:paraId="0000000F">
            <w:pPr>
              <w:rPr/>
            </w:pPr>
            <w:r w:rsidDel="00000000" w:rsidR="00000000" w:rsidRPr="00000000">
              <w:rPr>
                <w:rtl w:val="0"/>
              </w:rPr>
              <w:t xml:space="preserve">Chief Technology Officer &amp; Head of AgroInnova Lab</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detallada de divisiones de negocio, modelo I+D, portafolio SaaS e identidad visual.</w:t>
            </w:r>
          </w:p>
        </w:tc>
      </w:tr>
    </w:tbl>
    <w:p w:rsidR="00000000" w:rsidDel="00000000" w:rsidP="00000000" w:rsidRDefault="00000000" w:rsidRPr="00000000" w14:paraId="00000012">
      <w:pPr>
        <w:pStyle w:val="Heading2"/>
        <w:rPr/>
      </w:pPr>
      <w:bookmarkStart w:colFirst="0" w:colLast="0" w:name="_eaazirfrc350" w:id="4"/>
      <w:bookmarkEnd w:id="4"/>
      <w:r w:rsidDel="00000000" w:rsidR="00000000" w:rsidRPr="00000000">
        <w:rPr>
          <w:rtl w:val="0"/>
        </w:rPr>
        <w:t xml:space="preserve">ÍNDICE GENERAL DEL DOCUMENTO 01.B</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Resumen Ejecutivo y Alineación Estratégica con Statsfirm Co.</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Arquitectura de Divisiones Operativas de Agro Stat &amp; Tech Co.</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AgroInnova Lab: Centro de Investigación y Desarrollo Agroindustrial.</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Ecosistema de Productos SaaS Propietarios.</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Fundamentos de Identidad Visual y Lenguaje de Diseño Agro Tech.</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Conclusión y Transición a las Fases de Marca y Organización.</w:t>
      </w:r>
    </w:p>
    <w:p w:rsidR="00000000" w:rsidDel="00000000" w:rsidP="00000000" w:rsidRDefault="00000000" w:rsidRPr="00000000" w14:paraId="00000019">
      <w:pPr>
        <w:pStyle w:val="Heading2"/>
        <w:rPr/>
      </w:pPr>
      <w:bookmarkStart w:colFirst="0" w:colLast="0" w:name="_ntfcslo45kon" w:id="5"/>
      <w:bookmarkEnd w:id="5"/>
      <w:r w:rsidDel="00000000" w:rsidR="00000000" w:rsidRPr="00000000">
        <w:rPr>
          <w:rtl w:val="0"/>
        </w:rPr>
        <w:t xml:space="preserve">1. RESUMEN EJECUTIVO Y ALINEACIÓN ESTRATÉGICA</w:t>
      </w:r>
    </w:p>
    <w:p w:rsidR="00000000" w:rsidDel="00000000" w:rsidP="00000000" w:rsidRDefault="00000000" w:rsidRPr="00000000" w14:paraId="0000001A">
      <w:pPr>
        <w:rPr/>
      </w:pPr>
      <w:r w:rsidDel="00000000" w:rsidR="00000000" w:rsidRPr="00000000">
        <w:rPr>
          <w:rtl w:val="0"/>
        </w:rPr>
        <w:t xml:space="preserve">El presente documento constituye la continuación técnica del Documento 01.A, estableciendo el marco operativo mediante el cual Agro Stat &amp; Tech Co. materializa su filosofía de control estadístico y decisiones basadas en evidencia. Esta fase de expansión define la estructura departamental especializada, el motor de innovación biotecnológica representado por AgroInnova Lab y el despliegue de una plataforma SaaS robusta diseñada para la generación de ingresos recurrentes (ARR). La integración de estas unidades asegura que el rigor matemático de Statsfirm Co. se transfiera directamente a la eficiencia productiva del sector agroindustrial global.</w:t>
      </w:r>
    </w:p>
    <w:p w:rsidR="00000000" w:rsidDel="00000000" w:rsidP="00000000" w:rsidRDefault="00000000" w:rsidRPr="00000000" w14:paraId="0000001B">
      <w:pPr>
        <w:pStyle w:val="Heading2"/>
        <w:rPr/>
      </w:pPr>
      <w:bookmarkStart w:colFirst="0" w:colLast="0" w:name="_y3jepgwl1v5u" w:id="6"/>
      <w:bookmarkEnd w:id="6"/>
      <w:r w:rsidDel="00000000" w:rsidR="00000000" w:rsidRPr="00000000">
        <w:rPr>
          <w:rtl w:val="0"/>
        </w:rPr>
        <w:t xml:space="preserve">2. ARQUITECTURA DE DIVISIONES OPERATIVAS</w:t>
      </w:r>
    </w:p>
    <w:p w:rsidR="00000000" w:rsidDel="00000000" w:rsidP="00000000" w:rsidRDefault="00000000" w:rsidRPr="00000000" w14:paraId="0000001C">
      <w:pPr>
        <w:rPr/>
      </w:pPr>
      <w:r w:rsidDel="00000000" w:rsidR="00000000" w:rsidRPr="00000000">
        <w:rPr>
          <w:rtl w:val="0"/>
        </w:rPr>
        <w:t xml:space="preserve">La estructura de Agro Stat &amp; Tech Co. se organiza en siete divisiones estratégicas, cada una con un mandato técnico específico y KPIs orientados a la excelencia operativa.</w:t>
      </w:r>
    </w:p>
    <w:p w:rsidR="00000000" w:rsidDel="00000000" w:rsidP="00000000" w:rsidRDefault="00000000" w:rsidRPr="00000000" w14:paraId="0000001D">
      <w:pPr>
        <w:pStyle w:val="Heading3"/>
        <w:rPr/>
      </w:pPr>
      <w:bookmarkStart w:colFirst="0" w:colLast="0" w:name="_d5c8091au51v" w:id="7"/>
      <w:bookmarkEnd w:id="7"/>
      <w:r w:rsidDel="00000000" w:rsidR="00000000" w:rsidRPr="00000000">
        <w:rPr>
          <w:rtl w:val="0"/>
        </w:rPr>
        <w:t>2.1. División Agro Data Engineering &amp; Analytics Integration</w:t>
      </w:r>
    </w:p>
    <w:p w:rsidR="00000000" w:rsidDel="00000000" w:rsidP="00000000" w:rsidRDefault="00000000" w:rsidRPr="00000000" w14:paraId="0000001E">
      <w:pPr>
        <w:rPr/>
      </w:pPr>
      <w:r w:rsidDel="00000000" w:rsidR="00000000" w:rsidRPr="00000000">
        <w:rPr>
          <w:rtl w:val="0"/>
        </w:rPr>
        <w:t xml:space="preserve">Esta división gestiona la infraestructura de captura de datos en el borde (edge). Sus funciones principales incluyen: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Tecnologías:</w:t>
      </w:r>
      <w:r w:rsidDel="00000000" w:rsidR="00000000" w:rsidRPr="00000000">
        <w:rPr>
          <w:rtl w:val="0"/>
        </w:rPr>
        <w:t xml:space="preserve"> Despliegue de pipelines de ingesta multicanal (conectores de ERPs agropecuarios, APIs REST, planillas de campo y empaque) con validación estricta.</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Procesamiento:</w:t>
      </w:r>
      <w:r w:rsidDel="00000000" w:rsidR="00000000" w:rsidRPr="00000000">
        <w:rPr>
          <w:rtl w:val="0"/>
        </w:rPr>
        <w:t xml:space="preserve"> Ingestión masiva de datos geoespaciales provenientes de satélites (Sentinel y Planet) y drones, utilizando arquitecturas Lakehouse y procesamiento en tiempo real mediante Kafka.</w:t>
      </w:r>
    </w:p>
    <w:p w:rsidR="00000000" w:rsidDel="00000000" w:rsidP="00000000" w:rsidRDefault="00000000" w:rsidRPr="00000000" w14:paraId="00000022">
      <w:pPr>
        <w:pStyle w:val="Heading3"/>
        <w:rPr/>
      </w:pPr>
      <w:bookmarkStart w:colFirst="0" w:colLast="0" w:name="_fxuixeyremd5" w:id="8"/>
      <w:bookmarkEnd w:id="8"/>
      <w:r w:rsidDel="00000000" w:rsidR="00000000" w:rsidRPr="00000000">
        <w:rPr>
          <w:rtl w:val="0"/>
        </w:rPr>
        <w:t xml:space="preserve">2.2. División Statistical Process Control &amp; Process Engineering</w:t>
      </w:r>
    </w:p>
    <w:p w:rsidR="00000000" w:rsidDel="00000000" w:rsidP="00000000" w:rsidRDefault="00000000" w:rsidRPr="00000000" w14:paraId="00000023">
      <w:pPr>
        <w:rPr/>
      </w:pPr>
      <w:r w:rsidDel="00000000" w:rsidR="00000000" w:rsidRPr="00000000">
        <w:rPr>
          <w:rtl w:val="0"/>
        </w:rPr>
        <w:t xml:space="preserve">Responsable de la estandarización de la calidad y la reducción de la variabilidad en los procesos biológicos y operativos.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Metodología:</w:t>
      </w:r>
      <w:r w:rsidDel="00000000" w:rsidR="00000000" w:rsidRPr="00000000">
        <w:rPr>
          <w:rtl w:val="0"/>
        </w:rPr>
        <w:t xml:space="preserve"> Implementación de cartas de control Shewhart para variables críticas como humedad, conductividad eléctrica (CE), pH, densidad de siembra y peso de fruto.</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Análisis:</w:t>
      </w:r>
      <w:r w:rsidDel="00000000" w:rsidR="00000000" w:rsidRPr="00000000">
        <w:rPr>
          <w:rtl w:val="0"/>
        </w:rPr>
        <w:t xml:space="preserve"> Cálculo de índices de capacidad de proceso (Cp y Cpk) para operaciones de poscosecha y modelado de flujos de trabajo bajo el estándar BPMN 2.0.</w:t>
      </w:r>
    </w:p>
    <w:p w:rsidR="00000000" w:rsidDel="00000000" w:rsidP="00000000" w:rsidRDefault="00000000" w:rsidRPr="00000000" w14:paraId="00000027">
      <w:pPr>
        <w:pStyle w:val="Heading3"/>
        <w:rPr/>
      </w:pPr>
      <w:bookmarkStart w:colFirst="0" w:colLast="0" w:name="_gs3afw1h04v8" w:id="9"/>
      <w:bookmarkEnd w:id="9"/>
      <w:r w:rsidDel="00000000" w:rsidR="00000000" w:rsidRPr="00000000">
        <w:rPr>
          <w:rtl w:val="0"/>
        </w:rPr>
        <w:t xml:space="preserve">2.3. División Agricultural AI &amp; Yield Science</w:t>
      </w:r>
    </w:p>
    <w:p w:rsidR="00000000" w:rsidDel="00000000" w:rsidP="00000000" w:rsidRDefault="00000000" w:rsidRPr="00000000" w14:paraId="00000028">
      <w:pPr>
        <w:rPr/>
      </w:pPr>
      <w:r w:rsidDel="00000000" w:rsidR="00000000" w:rsidRPr="00000000">
        <w:rPr>
          <w:rtl w:val="0"/>
        </w:rPr>
        <w:t xml:space="preserve">Unidad dedicada a la inteligencia predictiva y la optimización de recursos.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1"/>
        </w:numPr>
        <w:ind w:left="720" w:hanging="360"/>
      </w:pPr>
      <w:r w:rsidDel="00000000" w:rsidR="00000000" w:rsidRPr="00000000">
        <w:rPr>
          <w:b w:val="1"/>
          <w:bCs w:val="1"/>
          <w:rtl w:val="0"/>
        </w:rPr>
        <w:t xml:space="preserve">Modelado:</w:t>
      </w:r>
      <w:r w:rsidDel="00000000" w:rsidR="00000000" w:rsidRPr="00000000">
        <w:rPr>
          <w:rtl w:val="0"/>
        </w:rPr>
        <w:t xml:space="preserve"> Desarrollo de algoritmos de Yield Forecasting (predicción de cosecha) y modelos de optimización estocástica para la fertilización.</w:t>
      </w:r>
    </w:p>
    <w:p w:rsidR="00000000" w:rsidDel="00000000" w:rsidP="00000000" w:rsidRDefault="00000000" w:rsidRPr="00000000" w14:paraId="0000002B">
      <w:pPr>
        <w:numPr>
          <w:ilvl w:val="0"/>
          <w:numId w:val="11"/>
        </w:numPr>
        <w:ind w:left="720" w:hanging="360"/>
      </w:pPr>
      <w:r w:rsidDel="00000000" w:rsidR="00000000" w:rsidRPr="00000000">
        <w:rPr>
          <w:b w:val="1"/>
          <w:bCs w:val="1"/>
          <w:rtl w:val="0"/>
        </w:rPr>
        <w:t xml:space="preserve">Visión Computacional:</w:t>
      </w:r>
      <w:r w:rsidDel="00000000" w:rsidR="00000000" w:rsidRPr="00000000">
        <w:rPr>
          <w:rtl w:val="0"/>
        </w:rPr>
        <w:t xml:space="preserve"> Aplicación de redes neuronales para el conteo automatizado de frutos y el diagnóstico temprano de fitopatologías en campo.</w:t>
      </w:r>
    </w:p>
    <w:p w:rsidR="00000000" w:rsidDel="00000000" w:rsidP="00000000" w:rsidRDefault="00000000" w:rsidRPr="00000000" w14:paraId="0000002C">
      <w:pPr>
        <w:pStyle w:val="Heading3"/>
        <w:rPr/>
      </w:pPr>
      <w:bookmarkStart w:colFirst="0" w:colLast="0" w:name="_f88vag79mz1w" w:id="10"/>
      <w:bookmarkEnd w:id="10"/>
      <w:r w:rsidDel="00000000" w:rsidR="00000000" w:rsidRPr="00000000">
        <w:rPr>
          <w:rtl w:val="0"/>
        </w:rPr>
        <w:t xml:space="preserve">2.4. División Agribusiness Intelligence &amp; Farm FinOps</w:t>
      </w:r>
    </w:p>
    <w:p w:rsidR="00000000" w:rsidDel="00000000" w:rsidP="00000000" w:rsidRDefault="00000000" w:rsidRPr="00000000" w14:paraId="0000002D">
      <w:pPr>
        <w:rPr/>
      </w:pPr>
      <w:r w:rsidDel="00000000" w:rsidR="00000000" w:rsidRPr="00000000">
        <w:rPr>
          <w:rtl w:val="0"/>
        </w:rPr>
        <w:t xml:space="preserve">Capa de análisis de negocio que transforma datos técnicos en decisiones financieras.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Entregables:</w:t>
      </w:r>
      <w:r w:rsidDel="00000000" w:rsidR="00000000" w:rsidRPr="00000000">
        <w:rPr>
          <w:rtl w:val="0"/>
        </w:rPr>
        <w:t xml:space="preserve"> Consolas analíticas integradas que permiten el control exhaustivo de costos por hectárea, rentabilidad por lote y análisis de márgenes de exportación.</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Inteligencia de Mercado:</w:t>
      </w:r>
      <w:r w:rsidDel="00000000" w:rsidR="00000000" w:rsidRPr="00000000">
        <w:rPr>
          <w:rtl w:val="0"/>
        </w:rPr>
        <w:t xml:space="preserve"> Monitorización de precios internacionales y tendencias de oferta/demanda global.</w:t>
      </w:r>
    </w:p>
    <w:p w:rsidR="00000000" w:rsidDel="00000000" w:rsidP="00000000" w:rsidRDefault="00000000" w:rsidRPr="00000000" w14:paraId="00000031">
      <w:pPr>
        <w:pStyle w:val="Heading3"/>
        <w:rPr/>
      </w:pPr>
      <w:bookmarkStart w:colFirst="0" w:colLast="0" w:name="_xn6zis64rgql" w:id="11"/>
      <w:bookmarkEnd w:id="11"/>
      <w:r w:rsidDel="00000000" w:rsidR="00000000" w:rsidRPr="00000000">
        <w:rPr>
          <w:rtl w:val="0"/>
        </w:rPr>
        <w:t xml:space="preserve">2.5. División Field Software &amp; Edge Engineering</w:t>
      </w:r>
    </w:p>
    <w:p w:rsidR="00000000" w:rsidDel="00000000" w:rsidP="00000000" w:rsidRDefault="00000000" w:rsidRPr="00000000" w14:paraId="00000032">
      <w:pPr>
        <w:rPr/>
      </w:pPr>
      <w:r w:rsidDel="00000000" w:rsidR="00000000" w:rsidRPr="00000000">
        <w:rPr>
          <w:rtl w:val="0"/>
        </w:rPr>
        <w:t xml:space="preserve">Desarrollo de las interfaces de usuario que operan en las condiciones más exigentes del agro.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Desarrollo:</w:t>
      </w:r>
      <w:r w:rsidDel="00000000" w:rsidR="00000000" w:rsidRPr="00000000">
        <w:rPr>
          <w:rtl w:val="0"/>
        </w:rPr>
        <w:t xml:space="preserve"> Aplicaciones híbridas (Flutter/React Native) diseñadas con sincronización offline obligatoria para entornos sin conectividad.</w:t>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Arquitectura de Ingesta: Implementación de pipelines de normalización y pre-procesamiento seguro de datasets de clientes antes de su consolidación en el Lakehouse analítico.</w:t>
      </w:r>
      <w:r w:rsidDel="00000000" w:rsidR="00000000" w:rsidRPr="00000000">
        <w:rPr>
          <w:rtl w:val="0"/>
        </w:rPr>
      </w:r>
    </w:p>
    <w:p w:rsidR="00000000" w:rsidDel="00000000" w:rsidP="00000000" w:rsidRDefault="00000000" w:rsidRPr="00000000" w14:paraId="00000036">
      <w:pPr>
        <w:pStyle w:val="Heading3"/>
        <w:rPr/>
      </w:pPr>
      <w:bookmarkStart w:colFirst="0" w:colLast="0" w:name="_m35bbhhcqxnh" w:id="12"/>
      <w:bookmarkEnd w:id="12"/>
      <w:r w:rsidDel="00000000" w:rsidR="00000000" w:rsidRPr="00000000">
        <w:rPr>
          <w:rtl w:val="0"/>
        </w:rPr>
        <w:t xml:space="preserve">2.6. División People &amp; Field Culture (HR Agro)</w:t>
      </w:r>
    </w:p>
    <w:p w:rsidR="00000000" w:rsidDel="00000000" w:rsidP="00000000" w:rsidRDefault="00000000" w:rsidRPr="00000000" w14:paraId="00000037">
      <w:pPr>
        <w:rPr/>
      </w:pPr>
      <w:r w:rsidDel="00000000" w:rsidR="00000000" w:rsidRPr="00000000">
        <w:rPr>
          <w:rtl w:val="0"/>
        </w:rPr>
        <w:t xml:space="preserve">Gestión del capital humano centrada en la alfabetización digital y la retención del talento técnico.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7"/>
        </w:numPr>
        <w:ind w:left="720" w:hanging="360"/>
      </w:pPr>
      <w:r w:rsidDel="00000000" w:rsidR="00000000" w:rsidRPr="00000000">
        <w:rPr>
          <w:b w:val="1"/>
          <w:bCs w:val="1"/>
          <w:rtl w:val="0"/>
        </w:rPr>
        <w:t xml:space="preserve">Programas:</w:t>
      </w:r>
      <w:r w:rsidDel="00000000" w:rsidR="00000000" w:rsidRPr="00000000">
        <w:rPr>
          <w:rtl w:val="0"/>
        </w:rPr>
        <w:t xml:space="preserve"> Capacitación técnica para el personal operativo y transferencia tecnológica directa al campesinado para asegurar la adopción de las herramientas digitales.</w:t>
      </w:r>
    </w:p>
    <w:p w:rsidR="00000000" w:rsidDel="00000000" w:rsidP="00000000" w:rsidRDefault="00000000" w:rsidRPr="00000000" w14:paraId="0000003A">
      <w:pPr>
        <w:pStyle w:val="Heading3"/>
        <w:rPr/>
      </w:pPr>
      <w:bookmarkStart w:colFirst="0" w:colLast="0" w:name="_erp02kkacoq7" w:id="13"/>
      <w:bookmarkEnd w:id="13"/>
      <w:r w:rsidDel="00000000" w:rsidR="00000000" w:rsidRPr="00000000">
        <w:rPr>
          <w:rtl w:val="0"/>
        </w:rPr>
        <w:t xml:space="preserve">2.7. División Agro-Finance, Legal &amp; Sustainable Compliance</w:t>
      </w:r>
    </w:p>
    <w:p w:rsidR="00000000" w:rsidDel="00000000" w:rsidP="00000000" w:rsidRDefault="00000000" w:rsidRPr="00000000" w14:paraId="0000003B">
      <w:pPr>
        <w:rPr/>
      </w:pPr>
      <w:r w:rsidDel="00000000" w:rsidR="00000000" w:rsidRPr="00000000">
        <w:rPr>
          <w:rtl w:val="0"/>
        </w:rPr>
        <w:t xml:space="preserve">Aseguramiento del marco legal y financiero de la operación agroindustrial.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Contratos:</w:t>
      </w:r>
      <w:r w:rsidDel="00000000" w:rsidR="00000000" w:rsidRPr="00000000">
        <w:rPr>
          <w:rtl w:val="0"/>
        </w:rPr>
        <w:t xml:space="preserve"> Estructuración de modelos de valor compartido (Share-of-Gain).</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Certificaciones:</w:t>
      </w:r>
      <w:r w:rsidDel="00000000" w:rsidR="00000000" w:rsidRPr="00000000">
        <w:rPr>
          <w:rtl w:val="0"/>
        </w:rPr>
        <w:t xml:space="preserve"> Gestión de propiedad intelectual y cumplimiento de normativas internacionales de sostenibilidad como GlobalGAP y Rainforest Alliance.</w:t>
      </w:r>
    </w:p>
    <w:p w:rsidR="00000000" w:rsidDel="00000000" w:rsidP="00000000" w:rsidRDefault="00000000" w:rsidRPr="00000000" w14:paraId="0000003F">
      <w:pPr>
        <w:pStyle w:val="Heading2"/>
        <w:rPr/>
      </w:pPr>
      <w:bookmarkStart w:colFirst="0" w:colLast="0" w:name="_uwvz4qyfr2uk" w:id="14"/>
      <w:bookmarkEnd w:id="14"/>
      <w:r w:rsidDel="00000000" w:rsidR="00000000" w:rsidRPr="00000000">
        <w:rPr>
          <w:rtl w:val="0"/>
        </w:rPr>
        <w:t xml:space="preserve">3. AGROINNOVA LAB: CENTRO DE I+D AGROINDUSTRIAL</w:t>
      </w:r>
    </w:p>
    <w:p w:rsidR="00000000" w:rsidDel="00000000" w:rsidP="00000000" w:rsidRDefault="00000000" w:rsidRPr="00000000" w14:paraId="00000040">
      <w:pPr>
        <w:rPr/>
      </w:pPr>
      <w:r w:rsidDel="00000000" w:rsidR="00000000" w:rsidRPr="00000000">
        <w:rPr>
          <w:rtl w:val="0"/>
        </w:rPr>
        <w:t xml:space="preserve">AgroInnova Lab actúa como el núcleo de investigación avanzada de la organización, con el mandato de desarrollar algoritmos propietarios y modelos agronómicos de precisión.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Líneas de Investigación Prioritarias: Desarrollo de algoritmos bioestadísticos para control de variabilidad agronómica, modelos matemáticos de optimización de procesos de cosecha y empaque, y modelos de fenología y rendimiento asistidos por Machine Learning.</w:t>
      </w: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Ciclo de Transferencia:</w:t>
      </w:r>
      <w:r w:rsidDel="00000000" w:rsidR="00000000" w:rsidRPr="00000000">
        <w:rPr>
          <w:rtl w:val="0"/>
        </w:rPr>
        <w:t xml:space="preserve"> La transición de la investigación al mercado se realiza mediante una red de parcelas experimentales piloto y alianzas estratégicas con centros de excelencia global como CGIAR, AGROSAVIA y Embrapa.</w:t>
      </w:r>
    </w:p>
    <w:p w:rsidR="00000000" w:rsidDel="00000000" w:rsidP="00000000" w:rsidRDefault="00000000" w:rsidRPr="00000000" w14:paraId="00000044">
      <w:pPr>
        <w:pStyle w:val="Heading2"/>
        <w:rPr/>
      </w:pPr>
      <w:bookmarkStart w:colFirst="0" w:colLast="0" w:name="_45b4cxqbjyda" w:id="15"/>
      <w:bookmarkEnd w:id="15"/>
      <w:r w:rsidDel="00000000" w:rsidR="00000000" w:rsidRPr="00000000">
        <w:rPr>
          <w:rtl w:val="0"/>
        </w:rPr>
        <w:t xml:space="preserve">4. ECOSISTEMA DE PRODUCTOS SAAS PROPIETARIOS</w:t>
      </w:r>
    </w:p>
    <w:p w:rsidR="00000000" w:rsidDel="00000000" w:rsidP="00000000" w:rsidRDefault="00000000" w:rsidRPr="00000000" w14:paraId="00000045">
      <w:pPr>
        <w:rPr/>
      </w:pPr>
      <w:r w:rsidDel="00000000" w:rsidR="00000000" w:rsidRPr="00000000">
        <w:rPr>
          <w:rtl w:val="0"/>
        </w:rPr>
        <w:t xml:space="preserve">La oferta tecnológica de la compañía se consolida en una suite integrada de software bajo modelo de suscripción: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AgroStat SPC Core:</w:t>
      </w:r>
      <w:r w:rsidDel="00000000" w:rsidR="00000000" w:rsidRPr="00000000">
        <w:rPr>
          <w:rtl w:val="0"/>
        </w:rPr>
        <w:t xml:space="preserve"> Motor de control estadístico que genera alertas automáticas ante desviaciones significativas en los parámetros de cultivo, permitiendo intervenciones correctivas antes de que la calidad se vea comprometida.</w:t>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AgroProcess Matrix:</w:t>
      </w:r>
      <w:r w:rsidDel="00000000" w:rsidR="00000000" w:rsidRPr="00000000">
        <w:rPr>
          <w:rtl w:val="0"/>
        </w:rPr>
        <w:t xml:space="preserve"> Orquestador de procesos basado en BPMN para la gestión georreferenciada de cuadrillas, tareas de riego, fumigación y logística de cosecha.</w:t>
      </w:r>
    </w:p>
    <w:p w:rsidR="00000000" w:rsidDel="00000000" w:rsidP="00000000" w:rsidRDefault="00000000" w:rsidRPr="00000000" w14:paraId="00000049">
      <w:pPr>
        <w:numPr>
          <w:ilvl w:val="0"/>
          <w:numId w:val="8"/>
        </w:numPr>
        <w:ind w:left="720" w:hanging="360"/>
      </w:pPr>
      <w:r w:rsidDel="00000000" w:rsidR="00000000" w:rsidRPr="00000000">
        <w:rPr>
          <w:b w:val="1"/>
          <w:bCs w:val="1"/>
          <w:rtl w:val="0"/>
        </w:rPr>
        <w:t xml:space="preserve">AgroYield Engine:</w:t>
      </w:r>
      <w:r w:rsidDel="00000000" w:rsidR="00000000" w:rsidRPr="00000000">
        <w:rPr>
          <w:rtl w:val="0"/>
        </w:rPr>
        <w:t xml:space="preserve"> Capa semántica predictiva que procesa datos históricos de clima, vigor vegetativo (NDVI) y floración para proyectar volúmenes de cosecha con una exactitud superior al 90%.</w:t>
      </w:r>
    </w:p>
    <w:p w:rsidR="00000000" w:rsidDel="00000000" w:rsidP="00000000" w:rsidRDefault="00000000" w:rsidRPr="00000000" w14:paraId="0000004A">
      <w:pPr>
        <w:pStyle w:val="Heading2"/>
        <w:rPr/>
      </w:pPr>
      <w:bookmarkStart w:colFirst="0" w:colLast="0" w:name="_x5p26wtca5z4" w:id="16"/>
      <w:bookmarkEnd w:id="16"/>
      <w:r w:rsidDel="00000000" w:rsidR="00000000" w:rsidRPr="00000000">
        <w:rPr>
          <w:rtl w:val="0"/>
        </w:rPr>
        <w:t xml:space="preserve">5. FUNDAMENTOS DE IDENTIDAD VISUAL Y LENGUAJE DE DISEÑO</w:t>
      </w:r>
    </w:p>
    <w:p w:rsidR="00000000" w:rsidDel="00000000" w:rsidP="00000000" w:rsidRDefault="00000000" w:rsidRPr="00000000" w14:paraId="0000004B">
      <w:pPr>
        <w:rPr/>
      </w:pPr>
      <w:r w:rsidDel="00000000" w:rsidR="00000000" w:rsidRPr="00000000">
        <w:rPr>
          <w:rtl w:val="0"/>
        </w:rPr>
        <w:t xml:space="preserve">La identidad visual de Agro Stat &amp; Tech Co. busca distanciarse de la estética convencional para proyectar un equilibrio entre la naturaleza viva y el rigor matemático.</w:t>
      </w:r>
    </w:p>
    <w:p w:rsidR="00000000" w:rsidDel="00000000" w:rsidP="00000000" w:rsidRDefault="00000000" w:rsidRPr="00000000" w14:paraId="0000004C">
      <w:pPr>
        <w:pStyle w:val="Heading3"/>
        <w:rPr/>
      </w:pPr>
      <w:bookmarkStart w:colFirst="0" w:colLast="0" w:name="_had9rkleyywk" w:id="17"/>
      <w:bookmarkEnd w:id="17"/>
      <w:r w:rsidDel="00000000" w:rsidR="00000000" w:rsidRPr="00000000">
        <w:rPr>
          <w:rtl w:val="0"/>
        </w:rPr>
        <w:t xml:space="preserve">5.1. Sistema Cromático Institucional</w:t>
      </w:r>
    </w:p>
    <w:p w:rsidR="00000000" w:rsidDel="00000000" w:rsidP="00000000" w:rsidRDefault="00000000" w:rsidRPr="00000000" w14:paraId="0000004D">
      <w:pPr>
        <w:numPr>
          <w:ilvl w:val="0"/>
          <w:numId w:val="9"/>
        </w:numPr>
        <w:ind w:left="720" w:hanging="360"/>
      </w:pPr>
      <w:r w:rsidDel="00000000" w:rsidR="00000000" w:rsidRPr="00000000">
        <w:rPr>
          <w:b w:val="1"/>
          <w:bCs w:val="1"/>
          <w:rtl w:val="0"/>
        </w:rPr>
        <w:t xml:space="preserve">Deep Forest Green (#064E3B):</w:t>
      </w:r>
      <w:r w:rsidDel="00000000" w:rsidR="00000000" w:rsidRPr="00000000">
        <w:rPr>
          <w:rtl w:val="0"/>
        </w:rPr>
        <w:t xml:space="preserve"> Color primario que representa la autoridad y la profundidad biológica.</w:t>
      </w:r>
    </w:p>
    <w:p w:rsidR="00000000" w:rsidDel="00000000" w:rsidP="00000000" w:rsidRDefault="00000000" w:rsidRPr="00000000" w14:paraId="0000004E">
      <w:pPr>
        <w:numPr>
          <w:ilvl w:val="0"/>
          <w:numId w:val="9"/>
        </w:numPr>
        <w:ind w:left="720" w:hanging="360"/>
      </w:pPr>
      <w:r w:rsidDel="00000000" w:rsidR="00000000" w:rsidRPr="00000000">
        <w:rPr>
          <w:b w:val="1"/>
          <w:bCs w:val="1"/>
          <w:rtl w:val="0"/>
        </w:rPr>
        <w:t xml:space="preserve">Bio Neon Green (#10B981):</w:t>
      </w:r>
      <w:r w:rsidDel="00000000" w:rsidR="00000000" w:rsidRPr="00000000">
        <w:rPr>
          <w:rtl w:val="0"/>
        </w:rPr>
        <w:t xml:space="preserve"> Acento para control estadístico activo y pulsos de éxito en los sistemas.</w:t>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Earth Graphite (#18181B):</w:t>
      </w:r>
      <w:r w:rsidDel="00000000" w:rsidR="00000000" w:rsidRPr="00000000">
        <w:rPr>
          <w:rtl w:val="0"/>
        </w:rPr>
        <w:t xml:space="preserve"> Color estructural para tipografía y fondos de interfaz.</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Harvest Amber (#F59E0B):</w:t>
      </w:r>
      <w:r w:rsidDel="00000000" w:rsidR="00000000" w:rsidRPr="00000000">
        <w:rPr>
          <w:rtl w:val="0"/>
        </w:rPr>
        <w:t xml:space="preserve"> Color de alerta y representación del valor financiero de la cosecha.</w:t>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Field Stone Gray (#71717A):</w:t>
      </w:r>
      <w:r w:rsidDel="00000000" w:rsidR="00000000" w:rsidRPr="00000000">
        <w:rPr>
          <w:rtl w:val="0"/>
        </w:rPr>
        <w:t xml:space="preserve"> Neutralizador para reportes y visualizaciones técnicas.</w:t>
      </w:r>
    </w:p>
    <w:p w:rsidR="00000000" w:rsidDel="00000000" w:rsidP="00000000" w:rsidRDefault="00000000" w:rsidRPr="00000000" w14:paraId="00000052">
      <w:pPr>
        <w:pStyle w:val="Heading3"/>
        <w:rPr/>
      </w:pPr>
      <w:bookmarkStart w:colFirst="0" w:colLast="0" w:name="_bso1y46so400" w:id="18"/>
      <w:bookmarkEnd w:id="18"/>
      <w:r w:rsidDel="00000000" w:rsidR="00000000" w:rsidRPr="00000000">
        <w:rPr>
          <w:rtl w:val="0"/>
        </w:rPr>
        <w:t xml:space="preserve">5.2. Tipografía Corporativa</w:t>
      </w:r>
    </w:p>
    <w:p w:rsidR="00000000" w:rsidDel="00000000" w:rsidP="00000000" w:rsidRDefault="00000000" w:rsidRPr="00000000" w14:paraId="00000053">
      <w:pPr>
        <w:numPr>
          <w:ilvl w:val="0"/>
          <w:numId w:val="9"/>
        </w:numPr>
        <w:ind w:left="720" w:hanging="360"/>
      </w:pPr>
      <w:r w:rsidDel="00000000" w:rsidR="00000000" w:rsidRPr="00000000">
        <w:rPr>
          <w:b w:val="1"/>
          <w:bCs w:val="1"/>
          <w:rtl w:val="0"/>
        </w:rPr>
        <w:t xml:space="preserve">Space Grotesk:</w:t>
      </w:r>
      <w:r w:rsidDel="00000000" w:rsidR="00000000" w:rsidRPr="00000000">
        <w:rPr>
          <w:rtl w:val="0"/>
        </w:rPr>
        <w:t xml:space="preserve"> Utilizada exclusivamente para títulos, evocando una estética de ingeniería moderna.</w:t>
      </w:r>
    </w:p>
    <w:p w:rsidR="00000000" w:rsidDel="00000000" w:rsidP="00000000" w:rsidRDefault="00000000" w:rsidRPr="00000000" w14:paraId="00000054">
      <w:pPr>
        <w:numPr>
          <w:ilvl w:val="0"/>
          <w:numId w:val="9"/>
        </w:numPr>
        <w:ind w:left="720" w:hanging="360"/>
      </w:pPr>
      <w:r w:rsidDel="00000000" w:rsidR="00000000" w:rsidRPr="00000000">
        <w:rPr>
          <w:b w:val="1"/>
          <w:bCs w:val="1"/>
          <w:rtl w:val="0"/>
        </w:rPr>
        <w:t xml:space="preserve">Inter:</w:t>
      </w:r>
      <w:r w:rsidDel="00000000" w:rsidR="00000000" w:rsidRPr="00000000">
        <w:rPr>
          <w:rtl w:val="0"/>
        </w:rPr>
        <w:t xml:space="preserve"> Fuente principal para el cuerpo de documentos y reportes, optimizada para legibilidad.</w:t>
      </w:r>
    </w:p>
    <w:p w:rsidR="00000000" w:rsidDel="00000000" w:rsidP="00000000" w:rsidRDefault="00000000" w:rsidRPr="00000000" w14:paraId="00000055">
      <w:pPr>
        <w:numPr>
          <w:ilvl w:val="0"/>
          <w:numId w:val="9"/>
        </w:numPr>
        <w:ind w:left="720" w:hanging="360"/>
      </w:pPr>
      <w:r w:rsidDel="00000000" w:rsidR="00000000" w:rsidRPr="00000000">
        <w:rPr>
          <w:b w:val="1"/>
          <w:bCs w:val="1"/>
          <w:rtl w:val="0"/>
        </w:rPr>
        <w:t>JetBrains Mono: Aplicada en fórmulas estadísticas, métricas de capacidad de proceso (Cp, Cpk) y visualización de datasets analíticos.</w:t>
      </w:r>
      <w:r w:rsidDel="00000000" w:rsidR="00000000" w:rsidRPr="00000000">
        <w:rPr>
          <w:rtl w:val="0"/>
        </w:rPr>
      </w:r>
    </w:p>
    <w:p w:rsidR="00000000" w:rsidDel="00000000" w:rsidP="00000000" w:rsidRDefault="00000000" w:rsidRPr="00000000" w14:paraId="00000056">
      <w:pPr>
        <w:pStyle w:val="Heading3"/>
        <w:rPr/>
      </w:pPr>
      <w:bookmarkStart w:colFirst="0" w:colLast="0" w:name="_idzne0m9pja2" w:id="19"/>
      <w:bookmarkEnd w:id="19"/>
      <w:r w:rsidDel="00000000" w:rsidR="00000000" w:rsidRPr="00000000">
        <w:rPr>
          <w:rtl w:val="0"/>
        </w:rPr>
        <w:t xml:space="preserve">5.3. Racional del Isotipo</w:t>
      </w:r>
    </w:p>
    <w:p w:rsidR="00000000" w:rsidDel="00000000" w:rsidP="00000000" w:rsidRDefault="00000000" w:rsidRPr="00000000" w14:paraId="00000057">
      <w:pPr>
        <w:rPr/>
      </w:pPr>
      <w:r w:rsidDel="00000000" w:rsidR="00000000" w:rsidRPr="00000000">
        <w:rPr>
          <w:rtl w:val="0"/>
        </w:rPr>
        <w:t xml:space="preserve">El isotipo se define como una estructura geométrica que fusiona una curva de distribución normal (Gaussiana) con la silueta minimalista de una plántula en proceso de germinación. En su núcleo, un nodo de datos energizado en Bio Neon representa la intersección entre la vida y la tecnología.</w:t>
      </w:r>
    </w:p>
    <w:p w:rsidR="00000000" w:rsidDel="00000000" w:rsidP="00000000" w:rsidRDefault="00000000" w:rsidRPr="00000000" w14:paraId="00000058">
      <w:pPr>
        <w:pStyle w:val="Heading3"/>
        <w:rPr/>
      </w:pPr>
      <w:bookmarkStart w:colFirst="0" w:colLast="0" w:name="_jkekejvj5p8n" w:id="20"/>
      <w:bookmarkEnd w:id="20"/>
      <w:r w:rsidDel="00000000" w:rsidR="00000000" w:rsidRPr="00000000">
        <w:rPr>
          <w:rtl w:val="0"/>
        </w:rPr>
        <w:t xml:space="preserve">5.4. Criterios de Diseño UI/UX</w:t>
      </w:r>
    </w:p>
    <w:p w:rsidR="00000000" w:rsidDel="00000000" w:rsidP="00000000" w:rsidRDefault="00000000" w:rsidRPr="00000000" w14:paraId="00000059">
      <w:pPr>
        <w:rPr/>
      </w:pPr>
      <w:r w:rsidDel="00000000" w:rsidR="00000000" w:rsidRPr="00000000">
        <w:rPr>
          <w:rtl w:val="0"/>
        </w:rPr>
        <w:t xml:space="preserve">Las interfaces deben cumplir con estándares de alta visibilidad bajo luz solar directa, tipografías de alto contraste y modos de funcionamiento offline para asegurar la operatividad total en campo.</w:t>
      </w:r>
    </w:p>
    <w:p w:rsidR="00000000" w:rsidDel="00000000" w:rsidP="00000000" w:rsidRDefault="00000000" w:rsidRPr="00000000" w14:paraId="0000005A">
      <w:pPr>
        <w:pStyle w:val="Heading2"/>
        <w:rPr/>
      </w:pPr>
      <w:bookmarkStart w:colFirst="0" w:colLast="0" w:name="_i19amuu4ictl" w:id="21"/>
      <w:bookmarkEnd w:id="21"/>
      <w:r w:rsidDel="00000000" w:rsidR="00000000" w:rsidRPr="00000000">
        <w:rPr>
          <w:rtl w:val="0"/>
        </w:rPr>
        <w:t xml:space="preserve">6. CONCLUSIÓN Y TRANSICIÓN</w:t>
      </w:r>
    </w:p>
    <w:p w:rsidR="00000000" w:rsidDel="00000000" w:rsidP="00000000" w:rsidRDefault="00000000" w:rsidRPr="00000000" w14:paraId="0000005B">
      <w:pPr>
        <w:rPr/>
      </w:pPr>
      <w:r w:rsidDel="00000000" w:rsidR="00000000" w:rsidRPr="00000000">
        <w:rPr>
          <w:rtl w:val="0"/>
        </w:rPr>
        <w:t xml:space="preserve">El Documento 01.B establece la base operativa y la personalidad técnica de Agro Stat &amp; Tech Co. La implementación de estas divisiones y sistemas SaaS asegura una ventaja competitiva sostenible. Este marco normativo sirve de entrada directa para la ejecución del Documento 02 (Manual de Marca) y el Documento 03 (Organización Empresarial y Squads de Campo).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8181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64e3b"/>
      <w:sz w:val="35.2"/>
      <w:szCs w:val="35.2"/>
    </w:rPr>
  </w:style>
  <w:style w:type="paragraph" w:styleId="Heading2">
    <w:name w:val="heading 2"/>
    <w:basedOn w:val="Normal"/>
    <w:next w:val="Normal"/>
    <w:pPr>
      <w:keepNext w:val="1"/>
      <w:keepLines w:val="1"/>
      <w:pageBreakBefore w:val="0"/>
      <w:spacing w:after="80" w:before="360" w:line="240" w:lineRule="auto"/>
    </w:pPr>
    <w:rPr>
      <w:rFonts w:ascii="Space Grotesk" w:cs="Space Grotesk" w:eastAsia="Space Grotesk" w:hAnsi="Space Grotesk"/>
      <w:b w:val="1"/>
      <w:bCs w:val="1"/>
      <w:i w:val="0"/>
      <w:iCs w:val="0"/>
      <w:color w:val="064e3b"/>
      <w:sz w:val="33"/>
      <w:szCs w:val="33"/>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18181b"/>
      <w:sz w:val="31"/>
      <w:szCs w:val="31"/>
    </w:rPr>
  </w:style>
  <w:style w:type="paragraph" w:styleId="Heading4">
    <w:name w:val="heading 4"/>
    <w:basedOn w:val="Normal"/>
    <w:next w:val="Normal"/>
    <w:pPr>
      <w:keepNext w:val="1"/>
      <w:keepLines w:val="1"/>
      <w:pageBreakBefore w:val="0"/>
      <w:spacing w:after="40" w:before="240" w:line="300" w:lineRule="auto"/>
    </w:pPr>
    <w:rPr>
      <w:rFonts w:ascii="Inter" w:cs="Inter" w:eastAsia="Inter" w:hAnsi="Inter"/>
      <w:b w:val="1"/>
      <w:bCs w:val="1"/>
      <w:i w:val="0"/>
      <w:iCs w:val="0"/>
      <w:color w:val="18181b"/>
      <w:sz w:val="29"/>
      <w:szCs w:val="2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64e3b"/>
      <w:sz w:val="37.6"/>
      <w:szCs w:val="37.6"/>
    </w:rPr>
  </w:style>
  <w:style w:type="paragraph" w:styleId="Subtitle">
    <w:name w:val="Subtitle"/>
    <w:basedOn w:val="Normal"/>
    <w:next w:val="Normal"/>
    <w:pPr>
      <w:keepNext w:val="1"/>
      <w:keepLines w:val="1"/>
      <w:pageBreakBefore w:val="0"/>
      <w:spacing w:after="80" w:before="360" w:line="300" w:lineRule="auto"/>
    </w:pPr>
    <w:rPr>
      <w:rFonts w:ascii="JetBrains Mono" w:cs="JetBrains Mono" w:eastAsia="JetBrains Mono" w:hAnsi="JetBrains Mono"/>
      <w:b w:val="0"/>
      <w:bCs w:val="0"/>
      <w:i w:val="0"/>
      <w:iCs w:val="0"/>
      <w:color w:val="7171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64e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