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lnvwqjqc21jp" w:id="0"/>
      <w:bookmarkEnd w:id="0"/>
      <w:r w:rsidDel="00000000" w:rsidR="00000000" w:rsidRPr="00000000">
        <w:rPr>
          <w:rtl w:val="0"/>
        </w:rPr>
        <w:t xml:space="preserve">AGRO STAT &amp; TECH CO.</w:t>
      </w:r>
    </w:p>
    <w:p w:rsidR="00000000" w:rsidDel="00000000" w:rsidP="00000000" w:rsidRDefault="00000000" w:rsidRPr="00000000" w14:paraId="00000002">
      <w:pPr>
        <w:pStyle w:val="Heading1"/>
        <w:rPr/>
      </w:pPr>
      <w:bookmarkStart w:colFirst="0" w:colLast="0" w:name="_khwx3cazf336" w:id="1"/>
      <w:bookmarkEnd w:id="1"/>
      <w:r w:rsidDel="00000000" w:rsidR="00000000" w:rsidRPr="00000000">
        <w:rPr>
          <w:rtl w:val="0"/>
        </w:rPr>
        <w:t>DOCUMENTO 04: GOBIERNO CORPORATIVO, POLÍTICAS DEL DATO AGROPECUARIO Y SEGURIDAD DE LA INFORMACIÓN</w:t>
      </w:r>
    </w:p>
    <w:p w:rsidR="00000000" w:rsidDel="00000000" w:rsidP="00000000" w:rsidRDefault="00000000" w:rsidRPr="00000000" w14:paraId="00000003">
      <w:pPr>
        <w:pStyle w:val="Heading2"/>
        <w:rPr/>
      </w:pPr>
      <w:bookmarkStart w:colFirst="0" w:colLast="0" w:name="_okapjhp6w9f5" w:id="2"/>
      <w:bookmarkEnd w:id="2"/>
      <w:r w:rsidDel="00000000" w:rsidR="00000000" w:rsidRPr="00000000">
        <w:rPr>
          <w:rtl w:val="0"/>
        </w:rPr>
        <w:t xml:space="preserve">Código: AST-CORP-GOV-004 | Versión: 1.0 | Clasificación: Confidencial / Corporativo</w:t>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pStyle w:val="Heading2"/>
        <w:rPr/>
      </w:pPr>
      <w:bookmarkStart w:colFirst="0" w:colLast="0" w:name="_tw7wahk6om9w" w:id="3"/>
      <w:bookmarkEnd w:id="3"/>
      <w:r w:rsidDel="00000000" w:rsidR="00000000" w:rsidRPr="00000000">
        <w:rPr>
          <w:rtl w:val="0"/>
        </w:rPr>
        <w:t xml:space="preserve">CONTROL DOCUMENTAL Y GESTIÓN DE VERSIONES</w:t>
      </w:r>
    </w:p>
    <w:tbl>
      <w:tblPr>
        <w:tblStyle w:val="Table1"/>
        <w:tblW w:w="21000.0" w:type="dxa"/>
        <w:jc w:val="left"/>
        <w:tblBorders>
          <w:top w:color="dddddd" w:space="0" w:sz="4" w:val="single"/>
          <w:left w:color="000000" w:space="0" w:sz="0" w:val="nil"/>
          <w:bottom w:color="dddddd" w:space="0" w:sz="4" w:val="single"/>
          <w:right w:color="000000" w:space="0" w:sz="0" w:val="nil"/>
          <w:insideH w:color="eeeeee" w:space="0" w:sz="4" w:val="single"/>
          <w:insideV w:color="000000" w:space="0" w:sz="0" w:val="nil"/>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06">
            <w:pPr>
              <w:rPr/>
            </w:pPr>
            <w:r w:rsidDel="00000000" w:rsidR="00000000" w:rsidRPr="00000000">
              <w:rPr>
                <w:rtl w:val="0"/>
              </w:rPr>
              <w:t xml:space="preserve">Versión</w:t>
            </w:r>
          </w:p>
        </w:tc>
        <w:tc>
          <w:tcPr/>
          <w:p w:rsidR="00000000" w:rsidDel="00000000" w:rsidP="00000000" w:rsidRDefault="00000000" w:rsidRPr="00000000" w14:paraId="00000007">
            <w:pPr>
              <w:rPr/>
            </w:pPr>
            <w:r w:rsidDel="00000000" w:rsidR="00000000" w:rsidRPr="00000000">
              <w:rPr>
                <w:rtl w:val="0"/>
              </w:rPr>
              <w:t xml:space="preserve">Fecha</w:t>
            </w:r>
          </w:p>
        </w:tc>
        <w:tc>
          <w:tcPr/>
          <w:p w:rsidR="00000000" w:rsidDel="00000000" w:rsidP="00000000" w:rsidRDefault="00000000" w:rsidRPr="00000000" w14:paraId="00000008">
            <w:pPr>
              <w:rPr/>
            </w:pPr>
            <w:r w:rsidDel="00000000" w:rsidR="00000000" w:rsidRPr="00000000">
              <w:rPr>
                <w:rtl w:val="0"/>
              </w:rPr>
              <w:t xml:space="preserve">Elaborado por</w:t>
            </w:r>
          </w:p>
        </w:tc>
        <w:tc>
          <w:tcPr/>
          <w:p w:rsidR="00000000" w:rsidDel="00000000" w:rsidP="00000000" w:rsidRDefault="00000000" w:rsidRPr="00000000" w14:paraId="00000009">
            <w:pPr>
              <w:rPr/>
            </w:pPr>
            <w:r w:rsidDel="00000000" w:rsidR="00000000" w:rsidRPr="00000000">
              <w:rPr>
                <w:rtl w:val="0"/>
              </w:rPr>
              <w:t xml:space="preserve">Revisado por</w:t>
            </w:r>
          </w:p>
        </w:tc>
        <w:tc>
          <w:tcPr/>
          <w:p w:rsidR="00000000" w:rsidDel="00000000" w:rsidP="00000000" w:rsidRDefault="00000000" w:rsidRPr="00000000" w14:paraId="0000000A">
            <w:pPr>
              <w:rPr/>
            </w:pPr>
            <w:r w:rsidDel="00000000" w:rsidR="00000000" w:rsidRPr="00000000">
              <w:rPr>
                <w:rtl w:val="0"/>
              </w:rPr>
              <w:t xml:space="preserve">Aprobado por</w:t>
            </w:r>
          </w:p>
        </w:tc>
        <w:tc>
          <w:tcPr/>
          <w:p w:rsidR="00000000" w:rsidDel="00000000" w:rsidP="00000000" w:rsidRDefault="00000000" w:rsidRPr="00000000" w14:paraId="0000000B">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1.0</w:t>
            </w:r>
          </w:p>
        </w:tc>
        <w:tc>
          <w:tcPr/>
          <w:p w:rsidR="00000000" w:rsidDel="00000000" w:rsidP="00000000" w:rsidRDefault="00000000" w:rsidRPr="00000000" w14:paraId="0000000D">
            <w:pPr>
              <w:rPr/>
            </w:pPr>
            <w:r w:rsidDel="00000000" w:rsidR="00000000" w:rsidRPr="00000000">
              <w:rPr>
                <w:rtl w:val="0"/>
              </w:rPr>
              <w:t xml:space="preserve">Septiembre 2026</w:t>
            </w:r>
          </w:p>
        </w:tc>
        <w:tc>
          <w:tcPr/>
          <w:p w:rsidR="00000000" w:rsidDel="00000000" w:rsidP="00000000" w:rsidRDefault="00000000" w:rsidRPr="00000000" w14:paraId="0000000E">
            <w:pPr>
              <w:rPr/>
            </w:pPr>
            <w:r w:rsidDel="00000000" w:rsidR="00000000" w:rsidRPr="00000000">
              <w:rPr>
                <w:rtl w:val="0"/>
              </w:rPr>
              <w:t xml:space="preserve">Agro Data Governance Council &amp; CSO</w:t>
            </w:r>
          </w:p>
        </w:tc>
        <w:tc>
          <w:tcPr/>
          <w:p w:rsidR="00000000" w:rsidDel="00000000" w:rsidP="00000000" w:rsidRDefault="00000000" w:rsidRPr="00000000" w14:paraId="0000000F">
            <w:pPr>
              <w:rPr/>
            </w:pPr>
            <w:r w:rsidDel="00000000" w:rsidR="00000000" w:rsidRPr="00000000">
              <w:rPr>
                <w:rtl w:val="0"/>
              </w:rPr>
              <w:t xml:space="preserve">CTO &amp; Head of Agricultural Compliance</w:t>
            </w:r>
          </w:p>
        </w:tc>
        <w:tc>
          <w:tcPr/>
          <w:p w:rsidR="00000000" w:rsidDel="00000000" w:rsidP="00000000" w:rsidRDefault="00000000" w:rsidRPr="00000000" w14:paraId="00000010">
            <w:pPr>
              <w:rPr/>
            </w:pPr>
            <w:r w:rsidDel="00000000" w:rsidR="00000000" w:rsidRPr="00000000">
              <w:rPr>
                <w:rtl w:val="0"/>
              </w:rPr>
              <w:t xml:space="preserve">Junta Directiva / Board of Directors</w:t>
            </w:r>
          </w:p>
        </w:tc>
        <w:tc>
          <w:tcPr/>
          <w:p w:rsidR="00000000" w:rsidDel="00000000" w:rsidP="00000000" w:rsidRDefault="00000000" w:rsidRPr="00000000" w14:paraId="00000011">
            <w:pPr>
              <w:rPr/>
            </w:pPr>
            <w:r w:rsidDel="00000000" w:rsidR="00000000" w:rsidRPr="00000000">
              <w:rPr>
                <w:rtl w:val="0"/>
              </w:rPr>
              <w:t>Marco normativo formal de gobierno corporativo, soberanía inmutable de datos agrícolas, trazabilidad de exportación (EUDR/GlobalGAP), seguridad en el tratamiento de datos del cliente y calidad analítica y bioética algorítmica (Fase 2).</w:t>
            </w:r>
          </w:p>
        </w:tc>
      </w:tr>
    </w:tbl>
    <w:p w:rsidR="00000000" w:rsidDel="00000000" w:rsidP="00000000" w:rsidRDefault="00000000" w:rsidRPr="00000000" w14:paraId="00000012">
      <w:pPr>
        <w:pStyle w:val="Heading2"/>
        <w:rPr/>
      </w:pPr>
      <w:bookmarkStart w:colFirst="0" w:colLast="0" w:name="_i1it6tok39hg" w:id="4"/>
      <w:bookmarkEnd w:id="4"/>
      <w:r w:rsidDel="00000000" w:rsidR="00000000" w:rsidRPr="00000000">
        <w:rPr>
          <w:rtl w:val="0"/>
        </w:rPr>
        <w:t xml:space="preserve">ÍNDICE GENERAL DEL DOCUMENTO 04</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Resumen Ejecutivo y Declaración de Soberanía del Dato de la Tierra</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Estructura de Comités Ejecutivos y Órganos de Control</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Política Maestra de Custodia del Dato Agropecuario</w:t>
      </w:r>
    </w:p>
    <w:p w:rsidR="00000000" w:rsidDel="00000000" w:rsidP="00000000" w:rsidRDefault="00000000" w:rsidRPr="00000000" w14:paraId="00000016">
      <w:pPr>
        <w:numPr>
          <w:ilvl w:val="0"/>
          <w:numId w:val="1"/>
        </w:numPr>
        <w:ind w:left="720" w:hanging="360"/>
      </w:pPr>
      <w:r w:rsidDel="00000000" w:rsidR="00000000" w:rsidRPr="00000000">
        <w:rPr>
          <w:rtl w:val="0"/>
        </w:rPr>
        <w:t>Marco de Seguridad y Gobernanza de Datos Agropecuarios Ingestados</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Cumplimiento Normativo Internacional y Certificaciones de Exportación</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Ética y Explicabilidad en Algoritmos de Inteligencia Artificial Agronómica</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Continuidad Operativa, Resiliencia ante Desastres Climáticos y BCP/DRP</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Auditoría Interna, Canal de Denuncias y Resolución de Controversias</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Conclusión y Transición al Documento 05</w:t>
      </w:r>
    </w:p>
    <w:p w:rsidR="00000000" w:rsidDel="00000000" w:rsidP="00000000" w:rsidRDefault="00000000" w:rsidRPr="00000000" w14:paraId="0000001C">
      <w:pPr>
        <w:pStyle w:val="Heading2"/>
        <w:rPr/>
      </w:pPr>
      <w:bookmarkStart w:colFirst="0" w:colLast="0" w:name="_rw1cyea23o86" w:id="5"/>
      <w:bookmarkEnd w:id="5"/>
      <w:r w:rsidDel="00000000" w:rsidR="00000000" w:rsidRPr="00000000">
        <w:rPr>
          <w:rtl w:val="0"/>
        </w:rPr>
        <w:t xml:space="preserve">1. RESUMEN EJECUTIVO Y SOBERANÍA DEL DATO</w:t>
      </w:r>
    </w:p>
    <w:p w:rsidR="00000000" w:rsidDel="00000000" w:rsidP="00000000" w:rsidRDefault="00000000" w:rsidRPr="00000000" w14:paraId="0000001D">
      <w:pPr>
        <w:rPr/>
      </w:pPr>
      <w:r w:rsidDel="00000000" w:rsidR="00000000" w:rsidRPr="00000000">
        <w:rPr>
          <w:rtl w:val="0"/>
        </w:rPr>
        <w:t xml:space="preserve">Agro Stat &amp; Tech Co. establece una postura ética innegociable: los datos generados en una finca, parcela o cultivo son propiedad inalienable del productor o agroindustria que trabaja la tierra. Nuestra organización asume formalmente el rol de custodio y facilitador de valor tecnológico, rechazando cualquier práctica de extracción indiscriminada o no consentida de información de los agricultores. La soberanía del dato de la tierra es el pilar sobre el cual se construye la confianza en nuestro ecosistema digital.</w:t>
      </w:r>
    </w:p>
    <w:p w:rsidR="00000000" w:rsidDel="00000000" w:rsidP="00000000" w:rsidRDefault="00000000" w:rsidRPr="00000000" w14:paraId="0000001E">
      <w:pPr>
        <w:pStyle w:val="Heading2"/>
        <w:rPr/>
      </w:pPr>
      <w:bookmarkStart w:colFirst="0" w:colLast="0" w:name="_4olixrg5bq7n" w:id="6"/>
      <w:bookmarkEnd w:id="6"/>
      <w:r w:rsidDel="00000000" w:rsidR="00000000" w:rsidRPr="00000000">
        <w:rPr>
          <w:rtl w:val="0"/>
        </w:rPr>
        <w:t xml:space="preserve">2. ESTRUCTURA DE COMITÉS EJECUTIVOS Y ÓRGANOS DE CONTROL</w:t>
      </w:r>
    </w:p>
    <w:p w:rsidR="00000000" w:rsidDel="00000000" w:rsidP="00000000" w:rsidRDefault="00000000" w:rsidRPr="00000000" w14:paraId="0000001F">
      <w:pPr>
        <w:rPr/>
      </w:pPr>
      <w:r w:rsidDel="00000000" w:rsidR="00000000" w:rsidRPr="00000000">
        <w:rPr>
          <w:rtl w:val="0"/>
        </w:rPr>
        <w:t xml:space="preserve">Para asegurar un gobierno robusto, se establecen los siguientes órganos con representación técnica de Statsfirm Co. y expertos en agronomía, legalidad y bioseguridad: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numPr>
          <w:ilvl w:val="0"/>
          <w:numId w:val="3"/>
        </w:numPr>
        <w:ind w:left="720" w:hanging="360"/>
      </w:pPr>
      <w:r w:rsidDel="00000000" w:rsidR="00000000" w:rsidRPr="00000000">
        <w:rPr>
          <w:b w:val="1"/>
          <w:bCs w:val="1"/>
          <w:rtl w:val="0"/>
        </w:rPr>
        <w:t xml:space="preserve">2.1. Junta Directiva de la Spin-Off:</w:t>
      </w:r>
      <w:r w:rsidDel="00000000" w:rsidR="00000000" w:rsidRPr="00000000">
        <w:rPr>
          <w:rtl w:val="0"/>
        </w:rPr>
        <w:t xml:space="preserve"> Máxima autoridad responsable de la dirección estratégica y supervisión general.</w:t>
      </w:r>
    </w:p>
    <w:p w:rsidR="00000000" w:rsidDel="00000000" w:rsidP="00000000" w:rsidRDefault="00000000" w:rsidRPr="00000000" w14:paraId="00000022">
      <w:pPr>
        <w:numPr>
          <w:ilvl w:val="0"/>
          <w:numId w:val="3"/>
        </w:numPr>
        <w:ind w:left="720" w:hanging="360"/>
      </w:pPr>
      <w:r w:rsidDel="00000000" w:rsidR="00000000" w:rsidRPr="00000000">
        <w:rPr>
          <w:b w:val="1"/>
          <w:bCs w:val="1"/>
          <w:rtl w:val="0"/>
        </w:rPr>
        <w:t xml:space="preserve">2.2. Consejo de Gobierno del Dato Agropecuario (Agro Data Governance Council):</w:t>
      </w:r>
      <w:r w:rsidDel="00000000" w:rsidR="00000000" w:rsidRPr="00000000">
        <w:rPr>
          <w:rtl w:val="0"/>
        </w:rPr>
        <w:t xml:space="preserve"> Encargado de dictar las políticas de uso, privacidad y monetización ética de los activos de datos.</w:t>
      </w:r>
    </w:p>
    <w:p w:rsidR="00000000" w:rsidDel="00000000" w:rsidP="00000000" w:rsidRDefault="00000000" w:rsidRPr="00000000" w14:paraId="00000023">
      <w:pPr>
        <w:numPr>
          <w:ilvl w:val="0"/>
          <w:numId w:val="3"/>
        </w:numPr>
        <w:ind w:left="720" w:hanging="360"/>
      </w:pPr>
      <w:r w:rsidDel="00000000" w:rsidR="00000000" w:rsidRPr="00000000">
        <w:rPr>
          <w:b w:val="1"/>
          <w:bCs w:val="1"/>
          <w:rtl w:val="0"/>
        </w:rPr>
        <w:t xml:space="preserve">2.3. Comité de Revisión de Arquitectura y Tecnologías de Campo (ARB-Agro):</w:t>
      </w:r>
      <w:r w:rsidDel="00000000" w:rsidR="00000000" w:rsidRPr="00000000">
        <w:rPr>
          <w:rtl w:val="0"/>
        </w:rPr>
        <w:t xml:space="preserve"> Supervisa la integridad técnica de las soluciones desplegadas en terreno.</w:t>
      </w:r>
    </w:p>
    <w:p w:rsidR="00000000" w:rsidDel="00000000" w:rsidP="00000000" w:rsidRDefault="00000000" w:rsidRPr="00000000" w14:paraId="00000024">
      <w:pPr>
        <w:numPr>
          <w:ilvl w:val="0"/>
          <w:numId w:val="3"/>
        </w:numPr>
        <w:ind w:left="720" w:hanging="360"/>
      </w:pPr>
      <w:r w:rsidDel="00000000" w:rsidR="00000000" w:rsidRPr="00000000">
        <w:rPr>
          <w:b w:val="1"/>
          <w:bCs w:val="1"/>
          <w:rtl w:val="0"/>
        </w:rPr>
        <w:t>2.4. Comité de Seguridad de la Información y Gobernanza del Dato: Gestiona la confidencialidad de la información del cliente, acuerdos de no divulgación (NDA) y cumplimiento normativo.</w:t>
      </w:r>
      <w:r w:rsidDel="00000000" w:rsidR="00000000" w:rsidRPr="00000000">
        <w:rPr>
          <w:rtl w:val="0"/>
        </w:rPr>
      </w:r>
    </w:p>
    <w:p w:rsidR="00000000" w:rsidDel="00000000" w:rsidP="00000000" w:rsidRDefault="00000000" w:rsidRPr="00000000" w14:paraId="00000025">
      <w:pPr>
        <w:numPr>
          <w:ilvl w:val="0"/>
          <w:numId w:val="3"/>
        </w:numPr>
        <w:ind w:left="720" w:hanging="360"/>
      </w:pPr>
      <w:r w:rsidDel="00000000" w:rsidR="00000000" w:rsidRPr="00000000">
        <w:rPr>
          <w:b w:val="1"/>
          <w:bCs w:val="1"/>
          <w:rtl w:val="0"/>
        </w:rPr>
        <w:t xml:space="preserve">2.5. Comité de Bioética, Algoritmos Responsables y Sostenibilidad:</w:t>
      </w:r>
      <w:r w:rsidDel="00000000" w:rsidR="00000000" w:rsidRPr="00000000">
        <w:rPr>
          <w:rtl w:val="0"/>
        </w:rPr>
        <w:t xml:space="preserve"> Vela por la transparencia algorítmica y el impacto ambiental de las operaciones.</w:t>
      </w:r>
    </w:p>
    <w:p w:rsidR="00000000" w:rsidDel="00000000" w:rsidP="00000000" w:rsidRDefault="00000000" w:rsidRPr="00000000" w14:paraId="00000026">
      <w:pPr>
        <w:pStyle w:val="Heading2"/>
        <w:rPr/>
      </w:pPr>
      <w:bookmarkStart w:colFirst="0" w:colLast="0" w:name="_8uqh01nwtxts" w:id="7"/>
      <w:bookmarkEnd w:id="7"/>
      <w:r w:rsidDel="00000000" w:rsidR="00000000" w:rsidRPr="00000000">
        <w:rPr>
          <w:rtl w:val="0"/>
        </w:rPr>
        <w:t xml:space="preserve">3. POLÍTICA MAESTRA DE CUSTODIA DEL DATO AGROPECUARIO</w:t>
      </w:r>
    </w:p>
    <w:p w:rsidR="00000000" w:rsidDel="00000000" w:rsidP="00000000" w:rsidRDefault="00000000" w:rsidRPr="00000000" w14:paraId="00000027">
      <w:pPr>
        <w:rPr/>
      </w:pPr>
      <w:r w:rsidDel="00000000" w:rsidR="00000000" w:rsidRPr="00000000">
        <w:rPr>
          <w:rtl w:val="0"/>
        </w:rPr>
        <w:t xml:space="preserve">Se establece un sistema de clasificación de datos en cuatro categorías críticas para garantizar su manejo adecuado:</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numPr>
          <w:ilvl w:val="0"/>
          <w:numId w:val="2"/>
        </w:numPr>
        <w:ind w:left="720" w:hanging="360"/>
      </w:pPr>
      <w:r w:rsidDel="00000000" w:rsidR="00000000" w:rsidRPr="00000000">
        <w:rPr>
          <w:b w:val="1"/>
          <w:bCs w:val="1"/>
          <w:rtl w:val="0"/>
        </w:rPr>
        <w:t xml:space="preserve">Datos Biofísicos/Edafoclimáticos:</w:t>
      </w:r>
      <w:r w:rsidDel="00000000" w:rsidR="00000000" w:rsidRPr="00000000">
        <w:rPr>
          <w:rtl w:val="0"/>
        </w:rPr>
        <w:t xml:space="preserve"> Información sobre suelo, clima y humedad, destinados exclusivamente a la alimentación de modelos locales de precisión.</w:t>
      </w:r>
    </w:p>
    <w:p w:rsidR="00000000" w:rsidDel="00000000" w:rsidP="00000000" w:rsidRDefault="00000000" w:rsidRPr="00000000" w14:paraId="0000002A">
      <w:pPr>
        <w:numPr>
          <w:ilvl w:val="0"/>
          <w:numId w:val="2"/>
        </w:numPr>
        <w:ind w:left="720" w:hanging="360"/>
      </w:pPr>
      <w:r w:rsidDel="00000000" w:rsidR="00000000" w:rsidRPr="00000000">
        <w:rPr>
          <w:b w:val="1"/>
          <w:bCs w:val="1"/>
          <w:rtl w:val="0"/>
        </w:rPr>
        <w:t xml:space="preserve">Datos de Labores de Campo:</w:t>
      </w:r>
      <w:r w:rsidDel="00000000" w:rsidR="00000000" w:rsidRPr="00000000">
        <w:rPr>
          <w:rtl w:val="0"/>
        </w:rPr>
        <w:t xml:space="preserve"> Registros de fechas de siembra, ciclos de riego, aplicaciones de fertilización y tratamientos fitosanitarios.</w:t>
      </w:r>
    </w:p>
    <w:p w:rsidR="00000000" w:rsidDel="00000000" w:rsidP="00000000" w:rsidRDefault="00000000" w:rsidRPr="00000000" w14:paraId="0000002B">
      <w:pPr>
        <w:numPr>
          <w:ilvl w:val="0"/>
          <w:numId w:val="2"/>
        </w:numPr>
        <w:ind w:left="720" w:hanging="360"/>
      </w:pPr>
      <w:r w:rsidDel="00000000" w:rsidR="00000000" w:rsidRPr="00000000">
        <w:rPr>
          <w:b w:val="1"/>
          <w:bCs w:val="1"/>
          <w:rtl w:val="0"/>
        </w:rPr>
        <w:t xml:space="preserve">Datos Comerciales y P&amp;L:</w:t>
      </w:r>
      <w:r w:rsidDel="00000000" w:rsidR="00000000" w:rsidRPr="00000000">
        <w:rPr>
          <w:rtl w:val="0"/>
        </w:rPr>
        <w:t xml:space="preserve"> Estructuras de costos por hectárea, volúmenes proyectados y reales de cosecha, y precios de venta.</w:t>
      </w:r>
    </w:p>
    <w:p w:rsidR="00000000" w:rsidDel="00000000" w:rsidP="00000000" w:rsidRDefault="00000000" w:rsidRPr="00000000" w14:paraId="0000002C">
      <w:pPr>
        <w:numPr>
          <w:ilvl w:val="0"/>
          <w:numId w:val="2"/>
        </w:numPr>
        <w:ind w:left="720" w:hanging="360"/>
      </w:pPr>
      <w:r w:rsidDel="00000000" w:rsidR="00000000" w:rsidRPr="00000000">
        <w:rPr>
          <w:b w:val="1"/>
          <w:bCs w:val="1"/>
          <w:rtl w:val="0"/>
        </w:rPr>
        <w:t xml:space="preserve">Datos de Propiedad Intelectual y Varietales:</w:t>
      </w:r>
      <w:r w:rsidDel="00000000" w:rsidR="00000000" w:rsidRPr="00000000">
        <w:rPr>
          <w:rtl w:val="0"/>
        </w:rPr>
        <w:t xml:space="preserve"> Protección estricta sobre registros genéticos y variedades protegidas.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Protocolo de Detección de Anomalías e Integridad en Datasets Ingestados:</w:t>
        <w:br/>
        <w:t>Como medida de garantía de calidad según DAMA-BOK, si un dataset reporta valores estáticos, fuera de rango biológico o inconsistencias temporales en las variables operativas del cliente, el Data Steward activará una bandera de cuarentena y solicitará verificación del registro original antes de incorporarlo al análisis estadístico.</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Linaje de Datos y Trazabilidad:</w:t>
      </w:r>
      <w:r w:rsidDel="00000000" w:rsidR="00000000" w:rsidRPr="00000000">
        <w:rPr>
          <w:rtl w:val="0"/>
        </w:rPr>
        <w:br w:type="textWrapping"/>
        <w:t xml:space="preserve">Se implementa un linaje estricto de datos diseñado para certificar que cada lote de producción cumple con las regulaciones internacionales, específicamente el Reglamento EUDR de Cero Deforestación, garantizando la transparencia desde el lote hasta el consumidor final.</w:t>
      </w:r>
    </w:p>
    <w:p w:rsidR="00000000" w:rsidDel="00000000" w:rsidP="00000000" w:rsidRDefault="00000000" w:rsidRPr="00000000" w14:paraId="00000031">
      <w:pPr>
        <w:pStyle w:val="Heading2"/>
        <w:rPr/>
      </w:pPr>
      <w:bookmarkStart w:colFirst="0" w:colLast="0" w:name="_odxas5th3bsw" w:id="8"/>
      <w:bookmarkEnd w:id="8"/>
      <w:r w:rsidDel="00000000" w:rsidR="00000000" w:rsidRPr="00000000">
        <w:rPr>
          <w:rtl w:val="0"/>
        </w:rPr>
        <w:t>4. Marco de Seguridad y Gobernanza de Datos Agropecuarios Ingestados</w:t>
      </w:r>
    </w:p>
    <w:p w:rsidR="00000000" w:rsidDel="00000000" w:rsidP="00000000" w:rsidRDefault="00000000" w:rsidRPr="00000000" w14:paraId="00000032">
      <w:pPr>
        <w:rPr/>
      </w:pPr>
      <w:r w:rsidDel="00000000" w:rsidR="00000000" w:rsidRPr="00000000">
        <w:rPr>
          <w:rtl w:val="0"/>
        </w:rPr>
        <w:t xml:space="preserve">La protección de la infraestructura crítica se basa en: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numPr>
          <w:ilvl w:val="0"/>
          <w:numId w:val="4"/>
        </w:numPr>
        <w:ind w:left="720" w:hanging="360"/>
      </w:pPr>
      <w:r w:rsidDel="00000000" w:rsidR="00000000" w:rsidRPr="00000000">
        <w:rPr>
          <w:b w:val="1"/>
          <w:bCs w:val="1"/>
          <w:rtl w:val="0"/>
        </w:rPr>
        <w:t>Seguridad en Reposo y Tránsito: Implementación de cifrado AES-256 en reposo para todos los datasets del cliente y canales seguros TLS 1.3 para la ingesta vía API o carga web de archivos.</w:t>
      </w:r>
      <w:r w:rsidDel="00000000" w:rsidR="00000000" w:rsidRPr="00000000">
        <w:rPr>
          <w:rtl w:val="0"/>
        </w:rPr>
      </w:r>
    </w:p>
    <w:p w:rsidR="00000000" w:rsidDel="00000000" w:rsidP="00000000" w:rsidRDefault="00000000" w:rsidRPr="00000000" w14:paraId="00000035">
      <w:pPr>
        <w:numPr>
          <w:ilvl w:val="0"/>
          <w:numId w:val="4"/>
        </w:numPr>
        <w:ind w:left="720" w:hanging="360"/>
      </w:pPr>
      <w:r w:rsidDel="00000000" w:rsidR="00000000" w:rsidRPr="00000000">
        <w:rPr>
          <w:b w:val="1"/>
          <w:bCs w:val="1"/>
          <w:rtl w:val="0"/>
        </w:rPr>
        <w:t xml:space="preserve">Aislamiento y Control:</w:t>
      </w:r>
      <w:r w:rsidDel="00000000" w:rsidR="00000000" w:rsidRPr="00000000">
        <w:rPr>
          <w:rtl w:val="0"/>
        </w:rPr>
        <w:t xml:space="preserve"> Implementación de modelos de control de accesos basados en roles (RBAC) para sistemas lógicos y físicos.</w:t>
      </w:r>
    </w:p>
    <w:p w:rsidR="00000000" w:rsidDel="00000000" w:rsidP="00000000" w:rsidRDefault="00000000" w:rsidRPr="00000000" w14:paraId="00000036">
      <w:pPr>
        <w:numPr>
          <w:ilvl w:val="0"/>
          <w:numId w:val="4"/>
        </w:numPr>
        <w:ind w:left="720" w:hanging="360"/>
      </w:pPr>
      <w:r w:rsidDel="00000000" w:rsidR="00000000" w:rsidRPr="00000000">
        <w:rPr>
          <w:b w:val="1"/>
          <w:bCs w:val="1"/>
          <w:rtl w:val="0"/>
        </w:rPr>
        <w:t xml:space="preserve">Protección de Sistemas Críticos:</w:t>
      </w:r>
      <w:r w:rsidDel="00000000" w:rsidR="00000000" w:rsidRPr="00000000">
        <w:rPr>
          <w:rtl w:val="0"/>
        </w:rPr>
        <w:t xml:space="preserve"> Medidas específicas para prevenir la manipulación externa en controladores de riego y sistemas de fertirriego, asegurando la continuidad operativa del cultivo.</w:t>
      </w:r>
    </w:p>
    <w:p w:rsidR="00000000" w:rsidDel="00000000" w:rsidP="00000000" w:rsidRDefault="00000000" w:rsidRPr="00000000" w14:paraId="00000037">
      <w:pPr>
        <w:pStyle w:val="Heading2"/>
        <w:rPr/>
      </w:pPr>
      <w:bookmarkStart w:colFirst="0" w:colLast="0" w:name="_8bnid1rys6ws" w:id="9"/>
      <w:bookmarkEnd w:id="9"/>
      <w:r w:rsidDel="00000000" w:rsidR="00000000" w:rsidRPr="00000000">
        <w:rPr>
          <w:rtl w:val="0"/>
        </w:rPr>
        <w:t xml:space="preserve">5. CUMPLIMIENTO NORMATIVO INTERNACIONAL Y CERTIFICACIONES DE EXPORTACIÓN</w:t>
      </w:r>
    </w:p>
    <w:p w:rsidR="00000000" w:rsidDel="00000000" w:rsidP="00000000" w:rsidRDefault="00000000" w:rsidRPr="00000000" w14:paraId="00000038">
      <w:pPr>
        <w:rPr/>
      </w:pPr>
      <w:r w:rsidDel="00000000" w:rsidR="00000000" w:rsidRPr="00000000">
        <w:rPr>
          <w:rtl w:val="0"/>
        </w:rPr>
        <w:t xml:space="preserve">Agro Stat &amp; Tech Co. proporciona las garantías necesarias para la exportación hacia mercados de alta exigencia (Unión Europea y Estados Unidos). Esto incluye la integración de certificados digitales de origen georreferenciados por polígono, facilitando el cumplimiento de normativas como GlobalGAP y FSMA. Los datos serán tratados bajo esquemas de anonimización para estudios macroeconómicos, protegiendo siempre la identidad del productor individual.</w:t>
      </w:r>
    </w:p>
    <w:p w:rsidR="00000000" w:rsidDel="00000000" w:rsidP="00000000" w:rsidRDefault="00000000" w:rsidRPr="00000000" w14:paraId="00000039">
      <w:pPr>
        <w:pStyle w:val="Heading2"/>
        <w:rPr/>
      </w:pPr>
      <w:bookmarkStart w:colFirst="0" w:colLast="0" w:name="_4rp3um6aw8nf" w:id="10"/>
      <w:bookmarkEnd w:id="10"/>
      <w:r w:rsidDel="00000000" w:rsidR="00000000" w:rsidRPr="00000000">
        <w:rPr>
          <w:rtl w:val="0"/>
        </w:rPr>
        <w:t xml:space="preserve">6. ÉTICA Y EXPLICABILIDAD EN ALGORITMOS DE INTELIGENCIA ARTIFICIAL AGRONÓMICA</w:t>
      </w:r>
    </w:p>
    <w:p w:rsidR="00000000" w:rsidDel="00000000" w:rsidP="00000000" w:rsidRDefault="00000000" w:rsidRPr="00000000" w14:paraId="0000003A">
      <w:pPr>
        <w:rPr/>
      </w:pPr>
      <w:r w:rsidDel="00000000" w:rsidR="00000000" w:rsidRPr="00000000">
        <w:rPr>
          <w:rtl w:val="0"/>
        </w:rPr>
        <w:t xml:space="preserve">Bajo el </w:t>
      </w:r>
      <w:r w:rsidDel="00000000" w:rsidR="00000000" w:rsidRPr="00000000">
        <w:rPr>
          <w:b w:val="1"/>
          <w:bCs w:val="1"/>
          <w:rtl w:val="0"/>
        </w:rPr>
        <w:t xml:space="preserve">Principio de Caja Abierta (Open-Box Agronomic Decisions)</w:t>
      </w:r>
      <w:r w:rsidDel="00000000" w:rsidR="00000000" w:rsidRPr="00000000">
        <w:rPr>
          <w:rtl w:val="0"/>
        </w:rPr>
        <w:t xml:space="preserve">, toda recomendación generada por IA sobre la aplicación de insumos (fertilizantes o pesticidas) debe estar respaldada por una justificación estadística y agronómica clara. Esto incluye la presentación de curvas de respuesta y la definición de umbrales de plaga que sustentan la decisión sugerida, mitigando posibles sesgos de escala productiva.</w:t>
      </w:r>
    </w:p>
    <w:p w:rsidR="00000000" w:rsidDel="00000000" w:rsidP="00000000" w:rsidRDefault="00000000" w:rsidRPr="00000000" w14:paraId="0000003B">
      <w:pPr>
        <w:pStyle w:val="Heading2"/>
        <w:rPr/>
      </w:pPr>
      <w:bookmarkStart w:colFirst="0" w:colLast="0" w:name="_oxykl225qzq3" w:id="11"/>
      <w:bookmarkEnd w:id="11"/>
      <w:r w:rsidDel="00000000" w:rsidR="00000000" w:rsidRPr="00000000">
        <w:rPr>
          <w:rtl w:val="0"/>
        </w:rPr>
        <w:t xml:space="preserve">7. CONTINUIDAD OPERATIVA Y RESILIENCIA (BCP/DRP)</w:t>
      </w:r>
    </w:p>
    <w:p w:rsidR="00000000" w:rsidDel="00000000" w:rsidP="00000000" w:rsidRDefault="00000000" w:rsidRPr="00000000" w14:paraId="0000003C">
      <w:pPr>
        <w:rPr/>
      </w:pPr>
      <w:r w:rsidDel="00000000" w:rsidR="00000000" w:rsidRPr="00000000">
        <w:rPr>
          <w:rtl w:val="0"/>
        </w:rPr>
        <w:t xml:space="preserve">Se establece un plan de resiliencia ante desastres climáticos que incluye el respaldo constante de datos satelitales y climáticos históricos. Este sistema garantiza la recuperación de información y la toma de decisiones incluso ante caídas prolongadas de las redes de telecomunicaciones en zonas rurales.</w:t>
      </w:r>
    </w:p>
    <w:p w:rsidR="00000000" w:rsidDel="00000000" w:rsidP="00000000" w:rsidRDefault="00000000" w:rsidRPr="00000000" w14:paraId="0000003D">
      <w:pPr>
        <w:pStyle w:val="Heading2"/>
        <w:rPr/>
      </w:pPr>
      <w:bookmarkStart w:colFirst="0" w:colLast="0" w:name="_9snra1el4r03" w:id="12"/>
      <w:bookmarkEnd w:id="12"/>
      <w:r w:rsidDel="00000000" w:rsidR="00000000" w:rsidRPr="00000000">
        <w:rPr>
          <w:rtl w:val="0"/>
        </w:rPr>
        <w:t xml:space="preserve">8. AUDITORÍA INTERNA Y CANAL DE DENUNCIAS</w:t>
      </w:r>
    </w:p>
    <w:p w:rsidR="00000000" w:rsidDel="00000000" w:rsidP="00000000" w:rsidRDefault="00000000" w:rsidRPr="00000000" w14:paraId="0000003E">
      <w:pPr>
        <w:rPr/>
      </w:pPr>
      <w:r w:rsidDel="00000000" w:rsidR="00000000" w:rsidRPr="00000000">
        <w:rPr>
          <w:rtl w:val="0"/>
        </w:rPr>
        <w:t xml:space="preserve">La compañía habilita un canal de denuncias formal y mecanismos de resolución de controversias para asegurar que las políticas aquí descritas se cumplan rigurosamente, permitiendo auditorías internas periódicas sobre el uso de los datos y la seguridad de los sistemas.</w:t>
      </w:r>
    </w:p>
    <w:p w:rsidR="00000000" w:rsidDel="00000000" w:rsidP="00000000" w:rsidRDefault="00000000" w:rsidRPr="00000000" w14:paraId="0000003F">
      <w:pPr>
        <w:pStyle w:val="Heading2"/>
        <w:rPr/>
      </w:pPr>
      <w:bookmarkStart w:colFirst="0" w:colLast="0" w:name="_5ndhh1gf65rw" w:id="13"/>
      <w:bookmarkEnd w:id="13"/>
      <w:r w:rsidDel="00000000" w:rsidR="00000000" w:rsidRPr="00000000">
        <w:rPr>
          <w:rtl w:val="0"/>
        </w:rPr>
        <w:t xml:space="preserve">9. CONCLUSIÓN Y TRANSICIÓN</w:t>
      </w:r>
    </w:p>
    <w:p w:rsidR="00000000" w:rsidDel="00000000" w:rsidP="00000000" w:rsidRDefault="00000000" w:rsidRPr="00000000" w14:paraId="00000040">
      <w:pPr>
        <w:rPr/>
      </w:pPr>
      <w:r w:rsidDel="00000000" w:rsidR="00000000" w:rsidRPr="00000000">
        <w:rPr>
          <w:rtl w:val="0"/>
        </w:rPr>
        <w:t xml:space="preserve">Este marco normativo consolida la base de operaciones seguras y éticas de Agro Stat &amp; Tech Co. La implementación de estas políticas es el prerrequisito para la ejecución de los servicios detallados en el </w:t>
      </w:r>
      <w:r w:rsidDel="00000000" w:rsidR="00000000" w:rsidRPr="00000000">
        <w:rPr>
          <w:b w:val="1"/>
          <w:bCs w:val="1"/>
          <w:rtl w:val="0"/>
        </w:rPr>
        <w:t xml:space="preserve">Documento 05: Catálogo de Servicios Agroindustriales</w:t>
      </w:r>
      <w:r w:rsidDel="00000000" w:rsidR="00000000" w:rsidRPr="00000000">
        <w:rPr>
          <w:rtl w:val="0"/>
        </w:rPr>
        <w:t xml:space="preserve">, donde se definirá el portafolio tecnológico y comercial de la compañía.</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3333"/>
        <w:sz w:val="24"/>
        <w:szCs w:val="24"/>
        <w:lang w:val="es"/>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a332c"/>
      <w:sz w:val="36"/>
      <w:szCs w:val="36"/>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2d463e"/>
      <w:sz w:val="30"/>
      <w:szCs w:val="30"/>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405952"/>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1a332c"/>
      <w:sz w:val="48"/>
      <w:szCs w:val="48"/>
    </w:rPr>
  </w:style>
  <w:style w:type="paragraph" w:styleId="Subtitle">
    <w:name w:val="Subtitle"/>
    <w:basedOn w:val="Normal"/>
    <w:next w:val="Normal"/>
    <w:pPr>
      <w:keepNext w:val="1"/>
      <w:keepLines w:val="1"/>
      <w:pageBreakBefore w:val="0"/>
      <w:spacing w:after="80" w:before="360" w:line="288" w:lineRule="auto"/>
    </w:pPr>
    <w:rPr>
      <w:rFonts w:ascii="Inter" w:cs="Inter" w:eastAsia="Inter" w:hAnsi="Inter"/>
      <w:b w:val="0"/>
      <w:bCs w:val="0"/>
      <w:i w:val="1"/>
      <w:iCs w:val="1"/>
      <w:color w:val="555555"/>
      <w:sz w:val="28"/>
      <w:szCs w:val="28"/>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1a332c"/>
        <w:sz w:val="22"/>
        <w:szCs w:val="22"/>
      </w:rPr>
      <w:tcPr>
        <w:shd w:fill="f4f7f6"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