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c1g7kadh9gw" w:id="0"/>
      <w:bookmarkEnd w:id="0"/>
      <w:r w:rsidDel="00000000" w:rsidR="00000000" w:rsidRPr="00000000">
        <w:rPr>
          <w:rtl w:val="0"/>
        </w:rPr>
        <w:t xml:space="preserve">AGRO STAT &amp; TECH CO.</w:t>
      </w:r>
    </w:p>
    <w:p w:rsidR="00000000" w:rsidDel="00000000" w:rsidP="00000000" w:rsidRDefault="00000000" w:rsidRPr="00000000" w14:paraId="00000002">
      <w:pPr>
        <w:pStyle w:val="Heading1"/>
        <w:rPr/>
      </w:pPr>
      <w:bookmarkStart w:colFirst="0" w:colLast="0" w:name="_1e8z513dnomn" w:id="1"/>
      <w:bookmarkEnd w:id="1"/>
      <w:r w:rsidDel="00000000" w:rsidR="00000000" w:rsidRPr="00000000">
        <w:rPr>
          <w:rtl w:val="0"/>
        </w:rPr>
        <w:t>DOCUMENTO 07: ARQUITECTURA EMPRESARIAL Y TÉCNICA AGROINDUSTRIAL (TOGAF, INTEGRACIÓN DE DATOS Y TRES CAPAS ANALÍTICAS AGRO-DATA)</w:t>
      </w:r>
    </w:p>
    <w:p w:rsidR="00000000" w:rsidDel="00000000" w:rsidP="00000000" w:rsidRDefault="00000000" w:rsidRPr="00000000" w14:paraId="00000003">
      <w:pPr>
        <w:pStyle w:val="Heading2"/>
        <w:rPr/>
      </w:pPr>
      <w:bookmarkStart w:colFirst="0" w:colLast="0" w:name="_6dss1f4unl0l" w:id="2"/>
      <w:bookmarkEnd w:id="2"/>
      <w:r w:rsidDel="00000000" w:rsidR="00000000" w:rsidRPr="00000000">
        <w:rPr>
          <w:rtl w:val="0"/>
        </w:rPr>
        <w:t xml:space="preserve">Código: AST-CORP-ARC-007 | Versión: 1.0 | Clasificación: Confidencial / Corporativo y Técnico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1vc420tyw5w7" w:id="3"/>
      <w:bookmarkEnd w:id="3"/>
      <w:r w:rsidDel="00000000" w:rsidR="00000000" w:rsidRPr="00000000">
        <w:rPr>
          <w:rtl w:val="0"/>
        </w:rPr>
        <w:t xml:space="preserve">CONTROL DOCUMENTAL Y GESTIÓN DE VERSIONES</w:t>
      </w:r>
    </w:p>
    <w:tbl>
      <w:tblPr>
        <w:tblStyle w:val="Table1"/>
        <w:tblW w:w="21000.0" w:type="dxa"/>
        <w:jc w:val="left"/>
        <w:tblBorders>
          <w:top w:color="cbd5e1" w:space="0" w:sz="8" w:val="single"/>
          <w:left w:color="000000" w:space="0" w:sz="0" w:val="nil"/>
          <w:bottom w:color="cbd5e1" w:space="0" w:sz="8" w:val="single"/>
          <w:right w:color="000000" w:space="0" w:sz="0" w:val="nil"/>
          <w:insideH w:color="e2e8f0" w:space="0" w:sz="4" w:val="single"/>
          <w:insideV w:color="e2e8f0" w:space="0" w:sz="4"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Agro Enterprise Architecture Group &amp; Chief Technology Officer</w:t>
            </w:r>
          </w:p>
        </w:tc>
        <w:tc>
          <w:tcPr/>
          <w:p w:rsidR="00000000" w:rsidDel="00000000" w:rsidP="00000000" w:rsidRDefault="00000000" w:rsidRPr="00000000" w14:paraId="0000000F">
            <w:pPr>
              <w:rPr/>
            </w:pPr>
            <w:r w:rsidDel="00000000" w:rsidR="00000000" w:rsidRPr="00000000">
              <w:rPr>
                <w:rtl w:val="0"/>
              </w:rPr>
              <w:t>Lead Agricultural Architect &amp; Head of Data Engineering</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Especificación formal de la Arquitectura Empresarial (TOGAF ADM), Arquitectura Técnica de Datos en Tres Capas Agropecuarias, Infraestructura Ingesta Analítica y Pipeline de Ingeniería DevOps de Campo (Fase 5).</w:t>
            </w:r>
          </w:p>
        </w:tc>
      </w:tr>
    </w:tbl>
    <w:p w:rsidR="00000000" w:rsidDel="00000000" w:rsidP="00000000" w:rsidRDefault="00000000" w:rsidRPr="00000000" w14:paraId="00000012">
      <w:pPr>
        <w:pStyle w:val="Heading2"/>
        <w:rPr/>
      </w:pPr>
      <w:bookmarkStart w:colFirst="0" w:colLast="0" w:name="_5z9f04u04jnz" w:id="4"/>
      <w:bookmarkEnd w:id="4"/>
      <w:r w:rsidDel="00000000" w:rsidR="00000000" w:rsidRPr="00000000">
        <w:rPr>
          <w:rtl w:val="0"/>
        </w:rPr>
        <w:t xml:space="preserve">ÍNDICE GENERAL DEL DOCUMENTO 07</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Resumen Ejecutivo y Marco TOGAF ADM Agroindustrial</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Arquitectura de Negocio (Business Capabilities Agropecuarias)</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Arquitectura Técnica de Datos: El Modelo Canónico de Tres Capas Agro-Data</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Arquitectura de Software, Edge Computing y Cloud Engineering (DevOps de Campo)</w:t>
      </w:r>
    </w:p>
    <w:p w:rsidR="00000000" w:rsidDel="00000000" w:rsidP="00000000" w:rsidRDefault="00000000" w:rsidRPr="00000000" w14:paraId="00000017">
      <w:pPr>
        <w:numPr>
          <w:ilvl w:val="0"/>
          <w:numId w:val="5"/>
        </w:numPr>
        <w:ind w:left="720" w:hanging="360"/>
      </w:pPr>
      <w:r w:rsidDel="00000000" w:rsidR="00000000" w:rsidRPr="00000000">
        <w:rPr>
          <w:rtl w:val="0"/>
        </w:rPr>
        <w:t>Seguridad en Almacenamiento, Resiliencia Operativa y Observabilidad de Pipelines de Datos</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Conclusión y Transición al Documento 08</w:t>
      </w:r>
    </w:p>
    <w:p w:rsidR="00000000" w:rsidDel="00000000" w:rsidP="00000000" w:rsidRDefault="00000000" w:rsidRPr="00000000" w14:paraId="00000019">
      <w:pPr>
        <w:pStyle w:val="Heading2"/>
        <w:rPr/>
      </w:pPr>
      <w:bookmarkStart w:colFirst="0" w:colLast="0" w:name="_ugwgvl16s29b" w:id="5"/>
      <w:bookmarkEnd w:id="5"/>
      <w:r w:rsidDel="00000000" w:rsidR="00000000" w:rsidRPr="00000000">
        <w:rPr>
          <w:rtl w:val="0"/>
        </w:rPr>
        <w:t xml:space="preserve">1. RESUMEN EJECUTIVO Y MARCO TOGAF ADM AGROINDUSTRIAL</w:t>
      </w:r>
    </w:p>
    <w:p w:rsidR="00000000" w:rsidDel="00000000" w:rsidP="00000000" w:rsidRDefault="00000000" w:rsidRPr="00000000" w14:paraId="0000001A">
      <w:pPr>
        <w:rPr/>
      </w:pPr>
      <w:r w:rsidDel="00000000" w:rsidR="00000000" w:rsidRPr="00000000">
        <w:rPr>
          <w:rtl w:val="0"/>
        </w:rPr>
        <w:t xml:space="preserve">La arquitectura tecnológica de Agro Stat &amp; Tech Co. ha sido diseñada bajo el estándar TOGAF ADM para garantizar una alineación estratégica entre los objetivos de negocio y la infraestructura técnica. El principal reto articulado en este diseño es la convergencia entre las realidades físicas de la finca —caracterizadas por la falta de energía eléctrica constante, intermitencia de red crítica, presencia de polvo y humedad extrema— con un procesamiento cloud de alta escala y disponibilidad. Esta arquitectura asegura que la toma de decisiones basada en datos no dependa exclusivamente de la conectividad permanente, permitiendo que la inteligencia de campo resida en el borde (Edge) mientras que la analítica profunda y el entrenamiento de modelos se centralicen en la nube.</w:t>
      </w:r>
    </w:p>
    <w:p w:rsidR="00000000" w:rsidDel="00000000" w:rsidP="00000000" w:rsidRDefault="00000000" w:rsidRPr="00000000" w14:paraId="0000001B">
      <w:pPr>
        <w:pStyle w:val="Heading2"/>
        <w:rPr/>
      </w:pPr>
      <w:bookmarkStart w:colFirst="0" w:colLast="0" w:name="_lpc0nsz1hic" w:id="6"/>
      <w:bookmarkEnd w:id="6"/>
      <w:r w:rsidDel="00000000" w:rsidR="00000000" w:rsidRPr="00000000">
        <w:rPr>
          <w:rtl w:val="0"/>
        </w:rPr>
        <w:t xml:space="preserve">2. ARQUITECTURA DE NEGOCIO (BUSINESS CAPABILITIES AGROPECUARIAS)</w:t>
      </w:r>
    </w:p>
    <w:p w:rsidR="00000000" w:rsidDel="00000000" w:rsidP="00000000" w:rsidRDefault="00000000" w:rsidRPr="00000000" w14:paraId="0000001C">
      <w:pPr>
        <w:rPr/>
      </w:pPr>
      <w:r w:rsidDel="00000000" w:rsidR="00000000" w:rsidRPr="00000000">
        <w:rPr>
          <w:rtl w:val="0"/>
        </w:rPr>
        <w:t xml:space="preserve">Se definen las siguientes capacidades críticas que sustentan la competitividad de la organización: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4"/>
        </w:numPr>
        <w:ind w:left="720" w:hanging="360"/>
      </w:pPr>
      <w:r w:rsidDel="00000000" w:rsidR="00000000" w:rsidRPr="00000000">
        <w:rPr>
          <w:b w:val="1"/>
          <w:bCs w:val="1"/>
          <w:rtl w:val="0"/>
        </w:rPr>
        <w:t xml:space="preserve">Monitoreo Microclimático Continuo:</w:t>
      </w:r>
      <w:r w:rsidDel="00000000" w:rsidR="00000000" w:rsidRPr="00000000">
        <w:rPr>
          <w:rtl w:val="0"/>
        </w:rPr>
        <w:t xml:space="preserve"> Captura persistente de variables ambientales para la anticipación de riesgos.</w:t>
      </w:r>
    </w:p>
    <w:p w:rsidR="00000000" w:rsidDel="00000000" w:rsidP="00000000" w:rsidRDefault="00000000" w:rsidRPr="00000000" w14:paraId="0000001F">
      <w:pPr>
        <w:numPr>
          <w:ilvl w:val="0"/>
          <w:numId w:val="4"/>
        </w:numPr>
        <w:ind w:left="720" w:hanging="360"/>
      </w:pPr>
      <w:r w:rsidDel="00000000" w:rsidR="00000000" w:rsidRPr="00000000">
        <w:rPr>
          <w:b w:val="1"/>
          <w:bCs w:val="1"/>
          <w:rtl w:val="0"/>
        </w:rPr>
        <w:t xml:space="preserve">Control Estadístico de Variabilidad Biológica:</w:t>
      </w:r>
      <w:r w:rsidDel="00000000" w:rsidR="00000000" w:rsidRPr="00000000">
        <w:rPr>
          <w:rtl w:val="0"/>
        </w:rPr>
        <w:t xml:space="preserve"> Aplicación de rigor matemático para entender las desviaciones en el crecimiento y salud de los cultivos.</w:t>
      </w:r>
    </w:p>
    <w:p w:rsidR="00000000" w:rsidDel="00000000" w:rsidP="00000000" w:rsidRDefault="00000000" w:rsidRPr="00000000" w14:paraId="00000020">
      <w:pPr>
        <w:numPr>
          <w:ilvl w:val="0"/>
          <w:numId w:val="4"/>
        </w:numPr>
        <w:ind w:left="720" w:hanging="360"/>
      </w:pPr>
      <w:r w:rsidDel="00000000" w:rsidR="00000000" w:rsidRPr="00000000">
        <w:rPr>
          <w:b w:val="1"/>
          <w:bCs w:val="1"/>
          <w:rtl w:val="0"/>
        </w:rPr>
        <w:t xml:space="preserve">Optimización de Nutrientes y Agua:</w:t>
      </w:r>
      <w:r w:rsidDel="00000000" w:rsidR="00000000" w:rsidRPr="00000000">
        <w:rPr>
          <w:rtl w:val="0"/>
        </w:rPr>
        <w:t xml:space="preserve"> Gestión eficiente de insumos mediante algoritmos de dosificación precisa.</w:t>
      </w:r>
    </w:p>
    <w:p w:rsidR="00000000" w:rsidDel="00000000" w:rsidP="00000000" w:rsidRDefault="00000000" w:rsidRPr="00000000" w14:paraId="00000021">
      <w:pPr>
        <w:numPr>
          <w:ilvl w:val="0"/>
          <w:numId w:val="4"/>
        </w:numPr>
        <w:ind w:left="720" w:hanging="360"/>
      </w:pPr>
      <w:r w:rsidDel="00000000" w:rsidR="00000000" w:rsidRPr="00000000">
        <w:rPr>
          <w:b w:val="1"/>
          <w:bCs w:val="1"/>
          <w:rtl w:val="0"/>
        </w:rPr>
        <w:t xml:space="preserve">Prescripción de Cosecha:</w:t>
      </w:r>
      <w:r w:rsidDel="00000000" w:rsidR="00000000" w:rsidRPr="00000000">
        <w:rPr>
          <w:rtl w:val="0"/>
        </w:rPr>
        <w:t xml:space="preserve"> Determinación del momento óptimo de recolección basado en modelos predictivos de madurez.</w:t>
      </w:r>
    </w:p>
    <w:p w:rsidR="00000000" w:rsidDel="00000000" w:rsidP="00000000" w:rsidRDefault="00000000" w:rsidRPr="00000000" w14:paraId="00000022">
      <w:pPr>
        <w:numPr>
          <w:ilvl w:val="0"/>
          <w:numId w:val="4"/>
        </w:numPr>
        <w:ind w:left="720" w:hanging="360"/>
      </w:pPr>
      <w:r w:rsidDel="00000000" w:rsidR="00000000" w:rsidRPr="00000000">
        <w:rPr>
          <w:b w:val="1"/>
          <w:bCs w:val="1"/>
          <w:rtl w:val="0"/>
        </w:rPr>
        <w:t xml:space="preserve">Trazabilidad Certificada:</w:t>
      </w:r>
      <w:r w:rsidDel="00000000" w:rsidR="00000000" w:rsidRPr="00000000">
        <w:rPr>
          <w:rtl w:val="0"/>
        </w:rPr>
        <w:t xml:space="preserve"> Registro inmutable de cada evento agronómico para garantizar estándares internacionales de exportación.</w:t>
      </w:r>
    </w:p>
    <w:p w:rsidR="00000000" w:rsidDel="00000000" w:rsidP="00000000" w:rsidRDefault="00000000" w:rsidRPr="00000000" w14:paraId="00000023">
      <w:pPr>
        <w:pStyle w:val="Heading2"/>
        <w:rPr/>
      </w:pPr>
      <w:bookmarkStart w:colFirst="0" w:colLast="0" w:name="_50dixgb7i7oy" w:id="7"/>
      <w:bookmarkEnd w:id="7"/>
      <w:r w:rsidDel="00000000" w:rsidR="00000000" w:rsidRPr="00000000">
        <w:rPr>
          <w:rtl w:val="0"/>
        </w:rPr>
        <w:t xml:space="preserve">3. LAS TRES CAPAS AGRO-DATA DETALLADAS</w:t>
      </w:r>
    </w:p>
    <w:p w:rsidR="00000000" w:rsidDel="00000000" w:rsidP="00000000" w:rsidRDefault="00000000" w:rsidRPr="00000000" w14:paraId="00000024">
      <w:pPr>
        <w:pStyle w:val="Heading3"/>
        <w:rPr/>
      </w:pPr>
      <w:bookmarkStart w:colFirst="0" w:colLast="0" w:name="_rllzspkbxwfa" w:id="8"/>
      <w:bookmarkEnd w:id="8"/>
      <w:r w:rsidDel="00000000" w:rsidR="00000000" w:rsidRPr="00000000">
        <w:rPr>
          <w:rtl w:val="0"/>
        </w:rPr>
        <w:t>3.1. Capa 1: Ingesta Multicanal, Estandarización y Validación de Datos</w:t>
      </w:r>
    </w:p>
    <w:p w:rsidR="00000000" w:rsidDel="00000000" w:rsidP="00000000" w:rsidRDefault="00000000" w:rsidRPr="00000000" w14:paraId="00000025">
      <w:pPr>
        <w:rPr/>
      </w:pPr>
      <w:r w:rsidDel="00000000" w:rsidR="00000000" w:rsidRPr="00000000">
        <w:rPr>
          <w:rtl w:val="0"/>
        </w:rPr>
        <w:t xml:space="preserve">Esta capa constituye el punto de contacto primario con la realidad biofísica del agro.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8"/>
        </w:numPr>
        <w:ind w:left="720" w:hanging="360"/>
      </w:pPr>
      <w:r w:rsidDel="00000000" w:rsidR="00000000" w:rsidRPr="00000000">
        <w:rPr>
          <w:b w:val="1"/>
          <w:bCs w:val="1"/>
          <w:rtl w:val="0"/>
        </w:rPr>
        <w:t>Orígenes de Datos: Datasets provistos por el cliente, incluyendo bases de datos de ERPs agropecuarios (SAP, AgroWin, Odoo), planillas de cosecha y empaque en Excel/CSV, reportes históricos de riego y fertilización, análisis físico-químicos de laboratorio y datos de estaciones climáticas públicas o comerciales.</w:t>
      </w:r>
      <w:r w:rsidDel="00000000" w:rsidR="00000000" w:rsidRPr="00000000">
        <w:rPr>
          <w:rtl w:val="0"/>
        </w:rPr>
      </w:r>
    </w:p>
    <w:p w:rsidR="00000000" w:rsidDel="00000000" w:rsidP="00000000" w:rsidRDefault="00000000" w:rsidRPr="00000000" w14:paraId="00000028">
      <w:pPr>
        <w:numPr>
          <w:ilvl w:val="0"/>
          <w:numId w:val="8"/>
        </w:numPr>
        <w:ind w:left="720" w:hanging="360"/>
      </w:pPr>
      <w:r w:rsidDel="00000000" w:rsidR="00000000" w:rsidRPr="00000000">
        <w:rPr>
          <w:b w:val="1"/>
          <w:bCs w:val="1"/>
          <w:rtl w:val="0"/>
        </w:rPr>
        <w:t xml:space="preserve">Validación de Ingesta:</w:t>
      </w:r>
      <w:r w:rsidDel="00000000" w:rsidR="00000000" w:rsidRPr="00000000">
        <w:rPr>
          <w:rtl w:val="0"/>
        </w:rPr>
        <w:t xml:space="preserve"> Implementación de reglas de negocio para comprobación de rangos físicos válidos. Se descartan lecturas imposibles (ej. humedad de suelo fuera del rango 0%-100% o niveles de pH inferiores a 3 o superiores a 10).</w:t>
      </w:r>
    </w:p>
    <w:p w:rsidR="00000000" w:rsidDel="00000000" w:rsidP="00000000" w:rsidRDefault="00000000" w:rsidRPr="00000000" w14:paraId="00000029">
      <w:pPr>
        <w:numPr>
          <w:ilvl w:val="0"/>
          <w:numId w:val="8"/>
        </w:numPr>
        <w:ind w:left="720" w:hanging="360"/>
      </w:pPr>
      <w:r w:rsidDel="00000000" w:rsidR="00000000" w:rsidRPr="00000000">
        <w:rPr>
          <w:b w:val="1"/>
          <w:bCs w:val="1"/>
          <w:rtl w:val="0"/>
        </w:rPr>
        <w:t xml:space="preserve">Gestión de Errores:</w:t>
      </w:r>
      <w:r w:rsidDel="00000000" w:rsidR="00000000" w:rsidRPr="00000000">
        <w:rPr>
          <w:rtl w:val="0"/>
        </w:rPr>
        <w:t xml:space="preserve"> Las anomalías se filtran automáticamente hacia Dead Letter Queues (DLQ) en Apache Kafka para su auditoría técnica.</w:t>
      </w:r>
    </w:p>
    <w:p w:rsidR="00000000" w:rsidDel="00000000" w:rsidP="00000000" w:rsidRDefault="00000000" w:rsidRPr="00000000" w14:paraId="0000002A">
      <w:pPr>
        <w:numPr>
          <w:ilvl w:val="0"/>
          <w:numId w:val="8"/>
        </w:numPr>
        <w:ind w:left="720" w:hanging="360"/>
      </w:pPr>
      <w:r w:rsidDel="00000000" w:rsidR="00000000" w:rsidRPr="00000000">
        <w:rPr>
          <w:b w:val="1"/>
          <w:bCs w:val="1"/>
          <w:rtl w:val="0"/>
        </w:rPr>
        <w:t xml:space="preserve">Almacenamiento Bronze:</w:t>
      </w:r>
      <w:r w:rsidDel="00000000" w:rsidR="00000000" w:rsidRPr="00000000">
        <w:rPr>
          <w:rtl w:val="0"/>
        </w:rPr>
        <w:t xml:space="preserve"> Los datos validados se persisten en un formato inmutable, particionado estrictamente por polígono geográfico y fecha.</w:t>
      </w:r>
    </w:p>
    <w:p w:rsidR="00000000" w:rsidDel="00000000" w:rsidP="00000000" w:rsidRDefault="00000000" w:rsidRPr="00000000" w14:paraId="0000002B">
      <w:pPr>
        <w:pStyle w:val="Heading3"/>
        <w:rPr/>
      </w:pPr>
      <w:bookmarkStart w:colFirst="0" w:colLast="0" w:name="_v2opzl9ejkp1" w:id="9"/>
      <w:bookmarkEnd w:id="9"/>
      <w:r w:rsidDel="00000000" w:rsidR="00000000" w:rsidRPr="00000000">
        <w:rPr>
          <w:rtl w:val="0"/>
        </w:rPr>
        <w:t xml:space="preserve">3.2. Capa 2: Curaduría Edafoclimática y Lakehouse Agrícola</w:t>
      </w:r>
    </w:p>
    <w:p w:rsidR="00000000" w:rsidDel="00000000" w:rsidP="00000000" w:rsidRDefault="00000000" w:rsidRPr="00000000" w14:paraId="0000002C">
      <w:pPr>
        <w:rPr/>
      </w:pPr>
      <w:r w:rsidDel="00000000" w:rsidR="00000000" w:rsidRPr="00000000">
        <w:rPr>
          <w:rtl w:val="0"/>
        </w:rPr>
        <w:t xml:space="preserve">Capa dedicada a la transformación y enriquecimiento de los datos crudos.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6"/>
        </w:numPr>
        <w:ind w:left="720" w:hanging="360"/>
      </w:pPr>
      <w:r w:rsidDel="00000000" w:rsidR="00000000" w:rsidRPr="00000000">
        <w:rPr>
          <w:b w:val="1"/>
          <w:bCs w:val="1"/>
          <w:rtl w:val="0"/>
        </w:rPr>
        <w:t xml:space="preserve">Procesamiento:</w:t>
      </w:r>
      <w:r w:rsidDel="00000000" w:rsidR="00000000" w:rsidRPr="00000000">
        <w:rPr>
          <w:rtl w:val="0"/>
        </w:rPr>
        <w:t xml:space="preserve"> Utilización de Apache Sedona y GeoSpark para computación geoespacial distribuida, junto con dbt para la orquestación de transformaciones SQL.</w:t>
      </w:r>
    </w:p>
    <w:p w:rsidR="00000000" w:rsidDel="00000000" w:rsidP="00000000" w:rsidRDefault="00000000" w:rsidRPr="00000000" w14:paraId="0000002F">
      <w:pPr>
        <w:numPr>
          <w:ilvl w:val="0"/>
          <w:numId w:val="6"/>
        </w:numPr>
        <w:ind w:left="720" w:hanging="360"/>
      </w:pPr>
      <w:r w:rsidDel="00000000" w:rsidR="00000000" w:rsidRPr="00000000">
        <w:rPr>
          <w:b w:val="1"/>
          <w:bCs w:val="1"/>
          <w:rtl w:val="0"/>
        </w:rPr>
        <w:t>Interpolación Espacial: Aplicación de métodos geoestadísticos como Kriging ordinario para estimar variables agronómicas continuas a partir de muestras georreferenciadas provistas por el cliente.</w:t>
      </w:r>
      <w:r w:rsidDel="00000000" w:rsidR="00000000" w:rsidRPr="00000000">
        <w:rPr>
          <w:rtl w:val="0"/>
        </w:rPr>
      </w:r>
    </w:p>
    <w:p w:rsidR="00000000" w:rsidDel="00000000" w:rsidP="00000000" w:rsidRDefault="00000000" w:rsidRPr="00000000" w14:paraId="00000030">
      <w:pPr>
        <w:numPr>
          <w:ilvl w:val="0"/>
          <w:numId w:val="6"/>
        </w:numPr>
        <w:ind w:left="720" w:hanging="360"/>
      </w:pPr>
      <w:r w:rsidDel="00000000" w:rsidR="00000000" w:rsidRPr="00000000">
        <w:rPr>
          <w:b w:val="1"/>
          <w:bCs w:val="1"/>
          <w:rtl w:val="0"/>
        </w:rPr>
        <w:t xml:space="preserve">Tratamiento de Imágenes:</w:t>
      </w:r>
      <w:r w:rsidDel="00000000" w:rsidR="00000000" w:rsidRPr="00000000">
        <w:rPr>
          <w:rtl w:val="0"/>
        </w:rPr>
        <w:t xml:space="preserve"> Algoritmos específicos para la limpieza de sombras de nubes en la imaginería satelital.</w:t>
      </w:r>
    </w:p>
    <w:p w:rsidR="00000000" w:rsidDel="00000000" w:rsidP="00000000" w:rsidRDefault="00000000" w:rsidRPr="00000000" w14:paraId="00000031">
      <w:pPr>
        <w:numPr>
          <w:ilvl w:val="0"/>
          <w:numId w:val="6"/>
        </w:numPr>
        <w:ind w:left="720" w:hanging="360"/>
      </w:pPr>
      <w:r w:rsidDel="00000000" w:rsidR="00000000" w:rsidRPr="00000000">
        <w:rPr>
          <w:b w:val="1"/>
          <w:bCs w:val="1"/>
          <w:rtl w:val="0"/>
        </w:rPr>
        <w:t xml:space="preserve">Persistencia Silver:</w:t>
      </w:r>
      <w:r w:rsidDel="00000000" w:rsidR="00000000" w:rsidRPr="00000000">
        <w:rPr>
          <w:rtl w:val="0"/>
        </w:rPr>
        <w:t xml:space="preserve"> Los datos procesados se almacenan en formatos Delta Lake o Apache Iceberg, manteniendo un registro estricto de linaje mediante protocolos OpenLineage o DataHub para garantizar la transparencia del dato.</w:t>
      </w:r>
    </w:p>
    <w:p w:rsidR="00000000" w:rsidDel="00000000" w:rsidP="00000000" w:rsidRDefault="00000000" w:rsidRPr="00000000" w14:paraId="00000032">
      <w:pPr>
        <w:pStyle w:val="Heading3"/>
        <w:rPr/>
      </w:pPr>
      <w:bookmarkStart w:colFirst="0" w:colLast="0" w:name="_wq9gir90jjmy" w:id="10"/>
      <w:bookmarkEnd w:id="10"/>
      <w:r w:rsidDel="00000000" w:rsidR="00000000" w:rsidRPr="00000000">
        <w:rPr>
          <w:rtl w:val="0"/>
        </w:rPr>
        <w:t xml:space="preserve">3.3. Capa 3: Analítica de Decisión, SPC y Feature Store de Cosecha</w:t>
      </w:r>
    </w:p>
    <w:p w:rsidR="00000000" w:rsidDel="00000000" w:rsidP="00000000" w:rsidRDefault="00000000" w:rsidRPr="00000000" w14:paraId="00000033">
      <w:pPr>
        <w:rPr/>
      </w:pPr>
      <w:r w:rsidDel="00000000" w:rsidR="00000000" w:rsidRPr="00000000">
        <w:rPr>
          <w:rtl w:val="0"/>
        </w:rPr>
        <w:t xml:space="preserve">Nivel superior donde el dato se convierte en valor estratégico y operativo.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3"/>
        </w:numPr>
        <w:ind w:left="720" w:hanging="360"/>
      </w:pPr>
      <w:r w:rsidDel="00000000" w:rsidR="00000000" w:rsidRPr="00000000">
        <w:rPr>
          <w:b w:val="1"/>
          <w:bCs w:val="1"/>
          <w:rtl w:val="0"/>
        </w:rPr>
        <w:t xml:space="preserve">Capa Gold:</w:t>
      </w:r>
      <w:r w:rsidDel="00000000" w:rsidR="00000000" w:rsidRPr="00000000">
        <w:rPr>
          <w:rtl w:val="0"/>
        </w:rPr>
        <w:t xml:space="preserve"> Estructura dimensional organizada jerárquicamente por Cuartel, Lote, Variedad y Temporada.</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Feature Store:</w:t>
      </w:r>
      <w:r w:rsidDel="00000000" w:rsidR="00000000" w:rsidRPr="00000000">
        <w:rPr>
          <w:rtl w:val="0"/>
        </w:rPr>
        <w:t xml:space="preserve"> Uso de Feast para centralizar y servir variables fenológicas listas para modelos de Machine Learning.</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Motores de Cálculo:</w:t>
      </w:r>
      <w:r w:rsidDel="00000000" w:rsidR="00000000" w:rsidRPr="00000000">
        <w:rPr>
          <w:rtl w:val="0"/>
        </w:rPr>
        <w:t xml:space="preserve"> Generación de límites estadísticos (UCL, LCL, X-barra, R) basados en modelos Shewhart.</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Visualización:</w:t>
      </w:r>
      <w:r w:rsidDel="00000000" w:rsidR="00000000" w:rsidRPr="00000000">
        <w:rPr>
          <w:rtl w:val="0"/>
        </w:rPr>
        <w:t xml:space="preserve"> Los resultados alimentan dashboards corporativos en Power BI para análisis de márgenes y la App móvil de campo para decisiones tácticas inmediatas.</w:t>
      </w:r>
    </w:p>
    <w:p w:rsidR="00000000" w:rsidDel="00000000" w:rsidP="00000000" w:rsidRDefault="00000000" w:rsidRPr="00000000" w14:paraId="00000039">
      <w:pPr>
        <w:pStyle w:val="Heading3"/>
        <w:rPr/>
      </w:pPr>
      <w:bookmarkStart w:colFirst="0" w:colLast="0" w:name="_xnyoz42jeo00" w:id="11"/>
      <w:bookmarkEnd w:id="11"/>
      <w:r w:rsidDel="00000000" w:rsidR="00000000" w:rsidRPr="00000000">
        <w:rPr>
          <w:rtl w:val="0"/>
        </w:rPr>
        <w:t xml:space="preserve">3.4. Diagrama Topológico del Flujo End-to-End Agro-Data</w:t>
      </w:r>
    </w:p>
    <w:p w:rsidR="00000000" w:rsidDel="00000000" w:rsidP="00000000" w:rsidRDefault="00000000" w:rsidRPr="00000000" w14:paraId="0000003A">
      <w:pPr>
        <w:rPr/>
      </w:pPr>
      <w:r w:rsidDel="00000000" w:rsidR="00000000" w:rsidRPr="00000000">
        <w:rPr>
          <w:rtl w:val="0"/>
        </w:rPr>
        <w:t xml:space="preserve">El flujo se estructura de la siguiente manera: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Operación Agrícola (Cliente): Generación y captura de registros de campo, empaque y laboratorio.</w:t>
      </w: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Edge Gateway:</w:t>
      </w:r>
      <w:r w:rsidDel="00000000" w:rsidR="00000000" w:rsidRPr="00000000">
        <w:rPr>
          <w:rtl w:val="0"/>
        </w:rPr>
        <w:t xml:space="preserve"> Pre-procesamiento local y validación inicial.</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Transporte (APIs Seguras / Carga Web): Envío cifrado de datasets y archivos operativos mediante HTTPS/TLS 1.3.</w:t>
      </w: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b w:val="1"/>
          <w:bCs w:val="1"/>
          <w:rtl w:val="0"/>
        </w:rPr>
        <w:t xml:space="preserve">Ingesta Cloud (Kafka):</w:t>
      </w:r>
      <w:r w:rsidDel="00000000" w:rsidR="00000000" w:rsidRPr="00000000">
        <w:rPr>
          <w:rtl w:val="0"/>
        </w:rPr>
        <w:t xml:space="preserve"> Recepción y enrutamiento (DLQ vs Bronze).</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Lakehouse (Spark/Sedona):</w:t>
      </w:r>
      <w:r w:rsidDel="00000000" w:rsidR="00000000" w:rsidRPr="00000000">
        <w:rPr>
          <w:rtl w:val="0"/>
        </w:rPr>
        <w:t xml:space="preserve"> Curaduría, limpieza y normalización (Silver).</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Analítica (Gold):</w:t>
      </w:r>
      <w:r w:rsidDel="00000000" w:rsidR="00000000" w:rsidRPr="00000000">
        <w:rPr>
          <w:rtl w:val="0"/>
        </w:rPr>
        <w:t xml:space="preserve"> Aplicación de SPC y almacenamiento de features.</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Consumo:</w:t>
      </w:r>
      <w:r w:rsidDel="00000000" w:rsidR="00000000" w:rsidRPr="00000000">
        <w:rPr>
          <w:rtl w:val="0"/>
        </w:rPr>
        <w:t xml:space="preserve"> Entrega de insights vía BI y aplicaciones móviles de gestión.</w:t>
      </w:r>
    </w:p>
    <w:p w:rsidR="00000000" w:rsidDel="00000000" w:rsidP="00000000" w:rsidRDefault="00000000" w:rsidRPr="00000000" w14:paraId="00000043">
      <w:pPr>
        <w:pStyle w:val="Heading2"/>
        <w:rPr/>
      </w:pPr>
      <w:bookmarkStart w:colFirst="0" w:colLast="0" w:name="_3e0m22k202bi" w:id="12"/>
      <w:bookmarkEnd w:id="12"/>
      <w:r w:rsidDel="00000000" w:rsidR="00000000" w:rsidRPr="00000000">
        <w:rPr>
          <w:rtl w:val="0"/>
        </w:rPr>
        <w:t xml:space="preserve">4. ARQUITECTURA DE SOFTWARE, EDGE COMPUTING Y CLOUD ENGINEERING</w:t>
      </w:r>
    </w:p>
    <w:p w:rsidR="00000000" w:rsidDel="00000000" w:rsidP="00000000" w:rsidRDefault="00000000" w:rsidRPr="00000000" w14:paraId="00000044">
      <w:pPr>
        <w:pStyle w:val="Heading3"/>
        <w:rPr/>
      </w:pPr>
      <w:bookmarkStart w:colFirst="0" w:colLast="0" w:name="_6a0ffhggqw91" w:id="13"/>
      <w:bookmarkEnd w:id="13"/>
      <w:r w:rsidDel="00000000" w:rsidR="00000000" w:rsidRPr="00000000">
        <w:rPr>
          <w:rtl w:val="0"/>
        </w:rPr>
        <w:t xml:space="preserve">4.1. Paradigma Arquitectónico</w:t>
      </w:r>
    </w:p>
    <w:p w:rsidR="00000000" w:rsidDel="00000000" w:rsidP="00000000" w:rsidRDefault="00000000" w:rsidRPr="00000000" w14:paraId="00000045">
      <w:pPr>
        <w:rPr/>
      </w:pPr>
      <w:r w:rsidDel="00000000" w:rsidR="00000000" w:rsidRPr="00000000">
        <w:rPr>
          <w:rtl w:val="0"/>
        </w:rPr>
        <w:t xml:space="preserve">Se adopta un enfoque de Edge Computing Local trabajando en conjunto con un Event-Driven Cloud. Esto permite que la lógica de negocio crítica (como el control de riego) se ejecute localmente en contenedores Docker dentro de Gateways industriales, asegurando la continuidad operativa incluso ante el aislamiento total de red.</w:t>
      </w:r>
    </w:p>
    <w:p w:rsidR="00000000" w:rsidDel="00000000" w:rsidP="00000000" w:rsidRDefault="00000000" w:rsidRPr="00000000" w14:paraId="00000046">
      <w:pPr>
        <w:pStyle w:val="Heading3"/>
        <w:rPr/>
      </w:pPr>
      <w:bookmarkStart w:colFirst="0" w:colLast="0" w:name="_gxfz62es0o4k" w:id="14"/>
      <w:bookmarkEnd w:id="14"/>
      <w:r w:rsidDel="00000000" w:rsidR="00000000" w:rsidRPr="00000000">
        <w:rPr>
          <w:rtl w:val="0"/>
        </w:rPr>
        <w:t xml:space="preserve">4.2. Conectividad y Protocolos</w:t>
      </w:r>
    </w:p>
    <w:p w:rsidR="00000000" w:rsidDel="00000000" w:rsidP="00000000" w:rsidRDefault="00000000" w:rsidRPr="00000000" w14:paraId="00000047">
      <w:pPr>
        <w:rPr/>
      </w:pPr>
      <w:r w:rsidDel="00000000" w:rsidR="00000000" w:rsidRPr="00000000">
        <w:rPr>
          <w:rtl w:val="0"/>
        </w:rPr>
        <w:t>La infraestructura soporta ingesta multiformato y asíncrona adaptada al contexto del cliente, permitiendo carga batch de archivos planos, ingesta programada vía conectores SFTP/API y endpoints seguros para sincronización de aplicaciones clientes.</w:t>
      </w:r>
    </w:p>
    <w:p w:rsidR="00000000" w:rsidDel="00000000" w:rsidP="00000000" w:rsidRDefault="00000000" w:rsidRPr="00000000" w14:paraId="00000048">
      <w:pPr>
        <w:pStyle w:val="Heading3"/>
        <w:rPr/>
      </w:pPr>
      <w:bookmarkStart w:colFirst="0" w:colLast="0" w:name="_uphr59b5sjs2" w:id="15"/>
      <w:bookmarkEnd w:id="15"/>
      <w:r w:rsidDel="00000000" w:rsidR="00000000" w:rsidRPr="00000000">
        <w:rPr>
          <w:rtl w:val="0"/>
        </w:rPr>
        <w:t xml:space="preserve">4.3. Infraestructura y DevOps de Campo</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Cloud-Native:</w:t>
      </w:r>
      <w:r w:rsidDel="00000000" w:rsidR="00000000" w:rsidRPr="00000000">
        <w:rPr>
          <w:rtl w:val="0"/>
        </w:rPr>
        <w:t xml:space="preserve"> Implementación sobre Kubernetes y gestión de infraestructura como código mediante Terraform, bajo principios de FinOps para el control de costes en la nube.</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Pipeline DevOps:</w:t>
      </w:r>
      <w:r w:rsidDel="00000000" w:rsidR="00000000" w:rsidRPr="00000000">
        <w:rPr>
          <w:rtl w:val="0"/>
        </w:rPr>
        <w:t xml:space="preserve"> El ciclo de vida de desarrollo consta de 10 etapas adaptadas, donde las pruebas de integración incluyen simulaciones de latencia extrema y pérdida de paquetes, replicando las condiciones hostiles del entorno rural.</w:t>
      </w:r>
    </w:p>
    <w:p w:rsidR="00000000" w:rsidDel="00000000" w:rsidP="00000000" w:rsidRDefault="00000000" w:rsidRPr="00000000" w14:paraId="0000004B">
      <w:pPr>
        <w:pStyle w:val="Heading2"/>
        <w:rPr/>
      </w:pPr>
      <w:bookmarkStart w:colFirst="0" w:colLast="0" w:name="_vsbxkp109xy8" w:id="16"/>
      <w:bookmarkEnd w:id="16"/>
      <w:r w:rsidDel="00000000" w:rsidR="00000000" w:rsidRPr="00000000">
        <w:rPr>
          <w:rtl w:val="0"/>
        </w:rPr>
        <w:t xml:space="preserve">5. CIBERSEGURIDAD EN CONTROLADORES CRÍTICOS Y OBSERVABILIDAD</w:t>
      </w:r>
    </w:p>
    <w:p w:rsidR="00000000" w:rsidDel="00000000" w:rsidP="00000000" w:rsidRDefault="00000000" w:rsidRPr="00000000" w14:paraId="0000004C">
      <w:pPr>
        <w:rPr/>
      </w:pPr>
      <w:r w:rsidDel="00000000" w:rsidR="00000000" w:rsidRPr="00000000">
        <w:rPr>
          <w:rtl w:val="0"/>
        </w:rPr>
        <w:t xml:space="preserve">La seguridad es transversal a toda la arquitectura: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7"/>
        </w:numPr>
        <w:ind w:left="720" w:hanging="360"/>
      </w:pPr>
      <w:r w:rsidDel="00000000" w:rsidR="00000000" w:rsidRPr="00000000">
        <w:rPr>
          <w:b w:val="1"/>
          <w:bCs w:val="1"/>
          <w:rtl w:val="0"/>
        </w:rPr>
        <w:t>Seguridad de Datos: Cifrado en tránsito (TLS 1.3) y en reposo (AES-256) con autenticación OAuth 2.0 / JWT para proteger la información comercial del cliente.</w:t>
      </w:r>
      <w:r w:rsidDel="00000000" w:rsidR="00000000" w:rsidRPr="00000000">
        <w:rPr>
          <w:rtl w:val="0"/>
        </w:rPr>
      </w:r>
    </w:p>
    <w:p w:rsidR="00000000" w:rsidDel="00000000" w:rsidP="00000000" w:rsidRDefault="00000000" w:rsidRPr="00000000" w14:paraId="0000004F">
      <w:pPr>
        <w:numPr>
          <w:ilvl w:val="0"/>
          <w:numId w:val="7"/>
        </w:numPr>
        <w:ind w:left="720" w:hanging="360"/>
      </w:pPr>
      <w:r w:rsidDel="00000000" w:rsidR="00000000" w:rsidRPr="00000000">
        <w:rPr>
          <w:b w:val="1"/>
          <w:bCs w:val="1"/>
          <w:rtl w:val="0"/>
        </w:rPr>
        <w:t xml:space="preserve">Prevención de Sabotajes:</w:t>
      </w:r>
      <w:r w:rsidDel="00000000" w:rsidR="00000000" w:rsidRPr="00000000">
        <w:rPr>
          <w:rtl w:val="0"/>
        </w:rPr>
        <w:t xml:space="preserve"> Protección de controladores lógicos que operan válvulas de riego y sistemas de fertilización.</w:t>
      </w:r>
    </w:p>
    <w:p w:rsidR="00000000" w:rsidDel="00000000" w:rsidP="00000000" w:rsidRDefault="00000000" w:rsidRPr="00000000" w14:paraId="00000050">
      <w:pPr>
        <w:numPr>
          <w:ilvl w:val="0"/>
          <w:numId w:val="7"/>
        </w:numPr>
        <w:ind w:left="720" w:hanging="360"/>
      </w:pPr>
      <w:r w:rsidDel="00000000" w:rsidR="00000000" w:rsidRPr="00000000">
        <w:rPr>
          <w:b w:val="1"/>
          <w:bCs w:val="1"/>
          <w:rtl w:val="0"/>
        </w:rPr>
        <w:t>Observabilidad: Monitoreo continuo de la salud de los pipelines de datos, tasas de error en validación de esquemas y rendimiento de consultas analíticas mediante Prometheus y Grafana.</w:t>
      </w:r>
      <w:r w:rsidDel="00000000" w:rsidR="00000000" w:rsidRPr="00000000">
        <w:rPr>
          <w:rtl w:val="0"/>
        </w:rPr>
      </w:r>
    </w:p>
    <w:p w:rsidR="00000000" w:rsidDel="00000000" w:rsidP="00000000" w:rsidRDefault="00000000" w:rsidRPr="00000000" w14:paraId="00000051">
      <w:pPr>
        <w:pStyle w:val="Heading2"/>
        <w:rPr/>
      </w:pPr>
      <w:bookmarkStart w:colFirst="0" w:colLast="0" w:name="_qmhkfcdxt2j0" w:id="17"/>
      <w:bookmarkEnd w:id="17"/>
      <w:r w:rsidDel="00000000" w:rsidR="00000000" w:rsidRPr="00000000">
        <w:rPr>
          <w:rtl w:val="0"/>
        </w:rPr>
        <w:t xml:space="preserve">6. CONCLUSIÓN Y TRANSICIÓN</w:t>
      </w:r>
    </w:p>
    <w:p w:rsidR="00000000" w:rsidDel="00000000" w:rsidP="00000000" w:rsidRDefault="00000000" w:rsidRPr="00000000" w14:paraId="00000052">
      <w:pPr>
        <w:rPr/>
      </w:pPr>
      <w:r w:rsidDel="00000000" w:rsidR="00000000" w:rsidRPr="00000000">
        <w:rPr>
          <w:rtl w:val="0"/>
        </w:rPr>
        <w:t xml:space="preserve">El presente Documento 07 establece los cimientos técnicos y arquitectónicos necesarios para transformar la operación agrícola de Agro Stat &amp; Tech Co. en una entidad data-driven de alta resiliencia. La integración de TOGAF ADM con tecnologías de borde y procesos de ingeniería de datos garantiza una escalabilidad sin precedentes. Este marco técnico habilita directamente la ejecución de los procesos operativos que se detallarán en el Documento 08: Ingeniería de Procesos y Diseño BPMN 2.0 para el Agro.</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Montserrat" w:cs="Montserrat" w:eastAsia="Montserrat" w:hAnsi="Montserrat"/>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300" w:lineRule="auto"/>
    </w:pPr>
    <w:rPr>
      <w:rFonts w:ascii="Montserrat" w:cs="Montserrat" w:eastAsia="Montserrat" w:hAnsi="Montserrat"/>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300" w:lineRule="auto"/>
    </w:pPr>
    <w:rPr>
      <w:rFonts w:ascii="Montserrat" w:cs="Montserrat" w:eastAsia="Montserrat" w:hAnsi="Montserrat"/>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e293b"/>
      <w:sz w:val="44"/>
      <w:szCs w:val="44"/>
    </w:rPr>
  </w:style>
  <w:style w:type="paragraph" w:styleId="Subtitle">
    <w:name w:val="Subtitle"/>
    <w:basedOn w:val="Normal"/>
    <w:next w:val="Normal"/>
    <w:pPr>
      <w:keepNext w:val="1"/>
      <w:keepLines w:val="1"/>
      <w:pageBreakBefore w:val="0"/>
      <w:spacing w:after="80" w:before="360" w:line="300" w:lineRule="auto"/>
    </w:pPr>
    <w:rPr>
      <w:rFonts w:ascii="Montserrat" w:cs="Montserrat" w:eastAsia="Montserrat" w:hAnsi="Montserrat"/>
      <w:b w:val="0"/>
      <w:bCs w:val="0"/>
      <w:i w:val="0"/>
      <w:iCs w:val="0"/>
      <w:color w:val="64748b"/>
      <w:sz w:val="32"/>
      <w:szCs w:val="3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1f5f9"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