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588j4q80msfn"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ytybw9gezlkd" w:id="1"/>
      <w:bookmarkEnd w:id="1"/>
      <w:r w:rsidDel="00000000" w:rsidR="00000000" w:rsidRPr="00000000">
        <w:rPr>
          <w:rtl w:val="0"/>
        </w:rPr>
        <w:t xml:space="preserve">DOCUMENTO 10: ECOSISTEMA DIGITAL Y ESPECIFICACIÓN DE LA APLICACIÓN DEL PRODUCTOR Y CONSOLA AGRO (WEB &amp; MOBILE OFFLINE-FIRST)</w:t>
      </w:r>
    </w:p>
    <w:p w:rsidR="00000000" w:rsidDel="00000000" w:rsidP="00000000" w:rsidRDefault="00000000" w:rsidRPr="00000000" w14:paraId="00000003">
      <w:pPr>
        <w:pStyle w:val="Heading2"/>
        <w:rPr/>
      </w:pPr>
      <w:bookmarkStart w:colFirst="0" w:colLast="0" w:name="_3uhydw124s92" w:id="2"/>
      <w:bookmarkEnd w:id="2"/>
      <w:r w:rsidDel="00000000" w:rsidR="00000000" w:rsidRPr="00000000">
        <w:rPr>
          <w:rtl w:val="0"/>
        </w:rPr>
        <w:t xml:space="preserve">Código: AST-CORP-APP-010 | Versión: 1.0 | Clasificación: Confidencial / Corporativo y Producto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lmkuinwv2gol" w:id="3"/>
      <w:bookmarkEnd w:id="3"/>
      <w:r w:rsidDel="00000000" w:rsidR="00000000" w:rsidRPr="00000000">
        <w:rPr>
          <w:rtl w:val="0"/>
        </w:rPr>
        <w:t xml:space="preserve">CONTROL DOCUMENTAL Y GESTIÓN DE VERSIONES</w:t>
      </w:r>
    </w:p>
    <w:tbl>
      <w:tblPr>
        <w:tblStyle w:val="Table1"/>
        <w:tblW w:w="21000.0" w:type="dxa"/>
        <w:jc w:val="left"/>
        <w:tblBorders>
          <w:top w:color="cfd8dc" w:space="0" w:sz="4" w:val="single"/>
          <w:left w:color="000000" w:space="0" w:sz="0" w:val="nil"/>
          <w:bottom w:color="cfd8dc" w:space="0" w:sz="4" w:val="single"/>
          <w:right w:color="000000" w:space="0" w:sz="0" w:val="nil"/>
          <w:insideH w:color="cfd8dc" w:space="0" w:sz="4" w:val="single"/>
          <w:insideV w:color="cfd8dc"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Digital Experience &amp; Mobile Engineering Group</w:t>
            </w:r>
          </w:p>
        </w:tc>
        <w:tc>
          <w:tcPr/>
          <w:p w:rsidR="00000000" w:rsidDel="00000000" w:rsidP="00000000" w:rsidRDefault="00000000" w:rsidRPr="00000000" w14:paraId="0000000F">
            <w:pPr>
              <w:rPr/>
            </w:pPr>
            <w:r w:rsidDel="00000000" w:rsidR="00000000" w:rsidRPr="00000000">
              <w:rPr>
                <w:rtl w:val="0"/>
              </w:rPr>
              <w:t xml:space="preserve">Chief Technology Officer &amp; Lead Agricultural UX Architect</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funcional, técnica, arquitectónica y de diseño de la aplicación móvil de campo offline-first y el portal web gerencial de Agro Stat &amp; Tech Co. (Fase 8).</w:t>
            </w:r>
          </w:p>
        </w:tc>
      </w:tr>
    </w:tbl>
    <w:p w:rsidR="00000000" w:rsidDel="00000000" w:rsidP="00000000" w:rsidRDefault="00000000" w:rsidRPr="00000000" w14:paraId="00000012">
      <w:pPr>
        <w:pStyle w:val="Heading2"/>
        <w:rPr/>
      </w:pPr>
      <w:bookmarkStart w:colFirst="0" w:colLast="0" w:name="_osqdu8jpvjpd" w:id="4"/>
      <w:bookmarkEnd w:id="4"/>
      <w:r w:rsidDel="00000000" w:rsidR="00000000" w:rsidRPr="00000000">
        <w:rPr>
          <w:rtl w:val="0"/>
        </w:rPr>
        <w:t xml:space="preserve">ÍNDICE GENERAL DEL DOCUMENTO 10</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Resumen Ejecutivo y Visión del Canal Digital Agropecuario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Propósito y Filosofía: La Consola Operativa y Económica del Campo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Arquitectura Técnica de la Plataforma Digital</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Especificación Funcional Detallada de Módulos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Arquitectura de Información y Diseño de Interfaz UI/UX de Campo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Seguridad, Privacidad de Datos de Tierra y Cifrado Móvil Local</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Plan de Despliegue, Despliegue en Fincas y Tiendas Digitales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Epílogo: El Repositorio Documental Completo de Agro Stat &amp; Tech Co. y Sinergia con Statsfirm Co.</w:t>
      </w:r>
    </w:p>
    <w:p w:rsidR="00000000" w:rsidDel="00000000" w:rsidP="00000000" w:rsidRDefault="00000000" w:rsidRPr="00000000" w14:paraId="0000001B">
      <w:pPr>
        <w:pStyle w:val="Heading2"/>
        <w:rPr/>
      </w:pPr>
      <w:bookmarkStart w:colFirst="0" w:colLast="0" w:name="_fn2q1uih8eq0" w:id="5"/>
      <w:bookmarkEnd w:id="5"/>
      <w:r w:rsidDel="00000000" w:rsidR="00000000" w:rsidRPr="00000000">
        <w:rPr>
          <w:rtl w:val="0"/>
        </w:rPr>
        <w:t xml:space="preserve">1. RESUMEN EJECUTIVO Y VISIÓN DEL CANAL DIGITAL AGROPECUARIO</w:t>
      </w:r>
    </w:p>
    <w:p w:rsidR="00000000" w:rsidDel="00000000" w:rsidP="00000000" w:rsidRDefault="00000000" w:rsidRPr="00000000" w14:paraId="0000001C">
      <w:pPr>
        <w:rPr/>
      </w:pPr>
      <w:r w:rsidDel="00000000" w:rsidR="00000000" w:rsidRPr="00000000">
        <w:rPr>
          <w:rtl w:val="0"/>
        </w:rPr>
        <w:t xml:space="preserve">La plataforma digital de Agro Stat &amp; Tech Co. trasciende la definición de un software administrativo convencional o una simple digitalización de hojas de cálculo. Se define como la consola de mando integral mediante la cual el productor, el agrónomo de campo y la gerencia agroindustrial interactúan directamente con las tres capas de datos (descriptiva, predictiva y prescriptiva) y el control estadístico de procesos (SPC). Este ecosistema actúa como el nexo técnico-operativo que permite la ejecución de la estrategia de alta rentabilidad de la compañía en el entorno rural.</w:t>
      </w:r>
    </w:p>
    <w:p w:rsidR="00000000" w:rsidDel="00000000" w:rsidP="00000000" w:rsidRDefault="00000000" w:rsidRPr="00000000" w14:paraId="0000001D">
      <w:pPr>
        <w:pStyle w:val="Heading2"/>
        <w:rPr/>
      </w:pPr>
      <w:bookmarkStart w:colFirst="0" w:colLast="0" w:name="_smc2fobrmm90" w:id="6"/>
      <w:bookmarkEnd w:id="6"/>
      <w:r w:rsidDel="00000000" w:rsidR="00000000" w:rsidRPr="00000000">
        <w:rPr>
          <w:rtl w:val="0"/>
        </w:rPr>
        <w:t xml:space="preserve">2. PROPÓSITO Y FILOSOFÍA: LA CONSOLA OPERATIVA Y ECONÓMICA DEL CAMPO</w:t>
      </w:r>
    </w:p>
    <w:p w:rsidR="00000000" w:rsidDel="00000000" w:rsidP="00000000" w:rsidRDefault="00000000" w:rsidRPr="00000000" w14:paraId="0000001E">
      <w:pPr>
        <w:rPr/>
      </w:pPr>
      <w:r w:rsidDel="00000000" w:rsidR="00000000" w:rsidRPr="00000000">
        <w:rPr>
          <w:rtl w:val="0"/>
        </w:rPr>
        <w:t>La filosofía de diseño se centra en el concepto "Offline-First". Reconociendo que el entorno rural presenta desafíos críticos de conectividad, la aplicación móvil está diseñada para operar de forma 100% autónoma sin acceso a internet durante periodos prolongados (semanas). El sistema permite el almacenamiento de labores, registros de cosecha, pesajes y mediciones agronómicas en una base de datos local encriptada, ejecutando una sincronización silenciosa y transparente en segundo plano en el momento exacto en que se detecta una conexión celular o Wi-Fi estable.</w:t>
      </w:r>
    </w:p>
    <w:p w:rsidR="00000000" w:rsidDel="00000000" w:rsidP="00000000" w:rsidRDefault="00000000" w:rsidRPr="00000000" w14:paraId="0000001F">
      <w:pPr>
        <w:pStyle w:val="Heading2"/>
        <w:rPr/>
      </w:pPr>
      <w:bookmarkStart w:colFirst="0" w:colLast="0" w:name="_6i3twnh7ysnm" w:id="7"/>
      <w:bookmarkEnd w:id="7"/>
      <w:r w:rsidDel="00000000" w:rsidR="00000000" w:rsidRPr="00000000">
        <w:rPr>
          <w:rtl w:val="0"/>
        </w:rPr>
        <w:t xml:space="preserve">3. ARQUITECTURA TÉCNICA DE LA PLATAFORMA DIGITAL</w:t>
      </w:r>
    </w:p>
    <w:p w:rsidR="00000000" w:rsidDel="00000000" w:rsidP="00000000" w:rsidRDefault="00000000" w:rsidRPr="00000000" w14:paraId="00000020">
      <w:pPr>
        <w:pStyle w:val="Heading3"/>
        <w:rPr/>
      </w:pPr>
      <w:bookmarkStart w:colFirst="0" w:colLast="0" w:name="_533t6vy1rsqb" w:id="8"/>
      <w:bookmarkEnd w:id="8"/>
      <w:r w:rsidDel="00000000" w:rsidR="00000000" w:rsidRPr="00000000">
        <w:rPr>
          <w:rtl w:val="0"/>
        </w:rPr>
        <w:t xml:space="preserve">3.1. Arquitectura Frontend Móvil Offline-First</w:t>
      </w:r>
    </w:p>
    <w:p w:rsidR="00000000" w:rsidDel="00000000" w:rsidP="00000000" w:rsidRDefault="00000000" w:rsidRPr="00000000" w14:paraId="00000021">
      <w:pPr>
        <w:rPr/>
      </w:pPr>
      <w:r w:rsidDel="00000000" w:rsidR="00000000" w:rsidRPr="00000000">
        <w:rPr>
          <w:rtl w:val="0"/>
        </w:rPr>
        <w:t xml:space="preserve">Desarrollada bajo frameworks de alto rendimiento (Flutter / React Native), utilizando </w:t>
      </w:r>
      <w:r w:rsidDel="00000000" w:rsidR="00000000" w:rsidRPr="00000000">
        <w:rPr>
          <w:b w:val="1"/>
          <w:bCs w:val="1"/>
          <w:rtl w:val="0"/>
        </w:rPr>
        <w:t xml:space="preserve">SQLite / WatermelonDB</w:t>
      </w:r>
      <w:r w:rsidDel="00000000" w:rsidR="00000000" w:rsidRPr="00000000">
        <w:rPr>
          <w:rtl w:val="0"/>
        </w:rPr>
        <w:t xml:space="preserve"> como motor de persistencia local para garantizar la integridad referencial y la velocidad de consulta en dispositivos de gama media y alta.</w:t>
      </w:r>
    </w:p>
    <w:p w:rsidR="00000000" w:rsidDel="00000000" w:rsidP="00000000" w:rsidRDefault="00000000" w:rsidRPr="00000000" w14:paraId="00000022">
      <w:pPr>
        <w:pStyle w:val="Heading3"/>
        <w:rPr/>
      </w:pPr>
      <w:bookmarkStart w:colFirst="0" w:colLast="0" w:name="_renj1wnqhyh6" w:id="9"/>
      <w:bookmarkEnd w:id="9"/>
      <w:r w:rsidDel="00000000" w:rsidR="00000000" w:rsidRPr="00000000">
        <w:rPr>
          <w:rtl w:val="0"/>
        </w:rPr>
        <w:t xml:space="preserve">3.2. Mecanismo de Sincronización Delta Bidireccional</w:t>
      </w:r>
    </w:p>
    <w:p w:rsidR="00000000" w:rsidDel="00000000" w:rsidP="00000000" w:rsidRDefault="00000000" w:rsidRPr="00000000" w14:paraId="00000023">
      <w:pPr>
        <w:rPr/>
      </w:pPr>
      <w:r w:rsidDel="00000000" w:rsidR="00000000" w:rsidRPr="00000000">
        <w:rPr>
          <w:rtl w:val="0"/>
        </w:rPr>
        <w:t xml:space="preserve">Implementación de marcas de tiempo lógicas mediante </w:t>
      </w:r>
      <w:r w:rsidDel="00000000" w:rsidR="00000000" w:rsidRPr="00000000">
        <w:rPr>
          <w:b w:val="1"/>
          <w:bCs w:val="1"/>
          <w:rtl w:val="0"/>
        </w:rPr>
        <w:t xml:space="preserve">vector clocks</w:t>
      </w:r>
      <w:r w:rsidDel="00000000" w:rsidR="00000000" w:rsidRPr="00000000">
        <w:rPr>
          <w:rtl w:val="0"/>
        </w:rPr>
        <w:t xml:space="preserve"> para la resolución avanzada de conflictos de concurrencia. El sistema solo transmite los cambios incrementales (deltas), optimizando el tráfico de red.</w:t>
      </w:r>
    </w:p>
    <w:p w:rsidR="00000000" w:rsidDel="00000000" w:rsidP="00000000" w:rsidRDefault="00000000" w:rsidRPr="00000000" w14:paraId="00000024">
      <w:pPr>
        <w:pStyle w:val="Heading3"/>
        <w:rPr/>
      </w:pPr>
      <w:bookmarkStart w:colFirst="0" w:colLast="0" w:name="_rp8s2zwcw0q1" w:id="10"/>
      <w:bookmarkEnd w:id="10"/>
      <w:r w:rsidDel="00000000" w:rsidR="00000000" w:rsidRPr="00000000">
        <w:rPr>
          <w:rtl w:val="0"/>
        </w:rPr>
        <w:t xml:space="preserve">3.3. Portal Web Progresivo para Gerencia Agroindustrial</w:t>
      </w:r>
    </w:p>
    <w:p w:rsidR="00000000" w:rsidDel="00000000" w:rsidP="00000000" w:rsidRDefault="00000000" w:rsidRPr="00000000" w14:paraId="00000025">
      <w:pPr>
        <w:rPr/>
      </w:pPr>
      <w:r w:rsidDel="00000000" w:rsidR="00000000" w:rsidRPr="00000000">
        <w:rPr>
          <w:rtl w:val="0"/>
        </w:rPr>
        <w:t xml:space="preserve">Interfaz administrativa desarrollada en </w:t>
      </w:r>
      <w:r w:rsidDel="00000000" w:rsidR="00000000" w:rsidRPr="00000000">
        <w:rPr>
          <w:b w:val="1"/>
          <w:bCs w:val="1"/>
          <w:rtl w:val="0"/>
        </w:rPr>
        <w:t xml:space="preserve">Next.js &amp; TailwindCSS</w:t>
      </w:r>
      <w:r w:rsidDel="00000000" w:rsidR="00000000" w:rsidRPr="00000000">
        <w:rPr>
          <w:rtl w:val="0"/>
        </w:rPr>
        <w:t xml:space="preserve">, diseñada para la visualización de datos agregados, gestión de flotas y supervisión macroeconómica desde centros de mando urbanos.</w:t>
      </w:r>
    </w:p>
    <w:p w:rsidR="00000000" w:rsidDel="00000000" w:rsidP="00000000" w:rsidRDefault="00000000" w:rsidRPr="00000000" w14:paraId="00000026">
      <w:pPr>
        <w:pStyle w:val="Heading3"/>
        <w:rPr/>
      </w:pPr>
      <w:bookmarkStart w:colFirst="0" w:colLast="0" w:name="_adghmeyw5vmu" w:id="11"/>
      <w:bookmarkEnd w:id="11"/>
      <w:r w:rsidDel="00000000" w:rsidR="00000000" w:rsidRPr="00000000">
        <w:rPr>
          <w:rtl w:val="0"/>
        </w:rPr>
        <w:t xml:space="preserve">3.4. Backend for Frontend (BFF) y Optimización Rural</w:t>
      </w:r>
    </w:p>
    <w:p w:rsidR="00000000" w:rsidDel="00000000" w:rsidP="00000000" w:rsidRDefault="00000000" w:rsidRPr="00000000" w14:paraId="00000027">
      <w:pPr>
        <w:rPr/>
      </w:pPr>
      <w:r w:rsidDel="00000000" w:rsidR="00000000" w:rsidRPr="00000000">
        <w:rPr>
          <w:rtl w:val="0"/>
        </w:rPr>
        <w:t xml:space="preserve">Uso de </w:t>
      </w:r>
      <w:r w:rsidDel="00000000" w:rsidR="00000000" w:rsidRPr="00000000">
        <w:rPr>
          <w:b w:val="1"/>
          <w:bCs w:val="1"/>
          <w:rtl w:val="0"/>
        </w:rPr>
        <w:t xml:space="preserve">Protobuf</w:t>
      </w:r>
      <w:r w:rsidDel="00000000" w:rsidR="00000000" w:rsidRPr="00000000">
        <w:rPr>
          <w:rtl w:val="0"/>
        </w:rPr>
        <w:t xml:space="preserve"> para la serialización y compresión de datos en tránsito, reduciendo drásticamente el consumo de ancho de banda en zonas con cobertura limitada.</w:t>
      </w:r>
    </w:p>
    <w:p w:rsidR="00000000" w:rsidDel="00000000" w:rsidP="00000000" w:rsidRDefault="00000000" w:rsidRPr="00000000" w14:paraId="00000028">
      <w:pPr>
        <w:pStyle w:val="Heading2"/>
        <w:rPr/>
      </w:pPr>
      <w:bookmarkStart w:colFirst="0" w:colLast="0" w:name="_o7l39orof52" w:id="12"/>
      <w:bookmarkEnd w:id="12"/>
      <w:r w:rsidDel="00000000" w:rsidR="00000000" w:rsidRPr="00000000">
        <w:rPr>
          <w:rtl w:val="0"/>
        </w:rPr>
        <w:t xml:space="preserve">4. ESPECIFICACIÓN FUNCIONAL DETALLADA DE MÓDULOS</w:t>
      </w:r>
    </w:p>
    <w:p w:rsidR="00000000" w:rsidDel="00000000" w:rsidP="00000000" w:rsidRDefault="00000000" w:rsidRPr="00000000" w14:paraId="00000029">
      <w:pPr>
        <w:pStyle w:val="Heading3"/>
        <w:rPr/>
      </w:pPr>
      <w:bookmarkStart w:colFirst="0" w:colLast="0" w:name="_xqgji96uc523" w:id="13"/>
      <w:bookmarkEnd w:id="13"/>
      <w:r w:rsidDel="00000000" w:rsidR="00000000" w:rsidRPr="00000000">
        <w:rPr>
          <w:rtl w:val="0"/>
        </w:rPr>
        <w:t xml:space="preserve">4.1. Módulo 1: Diagnóstico de Finca Express y Calculadora de Potencial Económico</w:t>
      </w:r>
    </w:p>
    <w:p w:rsidR="00000000" w:rsidDel="00000000" w:rsidP="00000000" w:rsidRDefault="00000000" w:rsidRPr="00000000" w14:paraId="0000002A">
      <w:pPr>
        <w:rPr/>
      </w:pPr>
      <w:r w:rsidDel="00000000" w:rsidR="00000000" w:rsidRPr="00000000">
        <w:rPr>
          <w:rtl w:val="0"/>
        </w:rPr>
        <w:t xml:space="preserve">Herramienta de entrada para evaluar la salud financiera y técnica inicial de la parcela, proyectando el retorno de inversión basado en la implementación tecnológica de Agro Stat &amp; Tech Co.</w:t>
      </w:r>
    </w:p>
    <w:p w:rsidR="00000000" w:rsidDel="00000000" w:rsidP="00000000" w:rsidRDefault="00000000" w:rsidRPr="00000000" w14:paraId="0000002B">
      <w:pPr>
        <w:pStyle w:val="Heading3"/>
        <w:rPr/>
      </w:pPr>
      <w:bookmarkStart w:colFirst="0" w:colLast="0" w:name="_e1dnemplgdri" w:id="14"/>
      <w:bookmarkEnd w:id="14"/>
      <w:r w:rsidDel="00000000" w:rsidR="00000000" w:rsidRPr="00000000">
        <w:rPr>
          <w:rtl w:val="0"/>
        </w:rPr>
        <w:t xml:space="preserve">4.2. Módulo 2: Mapa GIS Interactivo de Parcelas y Estado Fenológico del Cultivo</w:t>
      </w:r>
    </w:p>
    <w:p w:rsidR="00000000" w:rsidDel="00000000" w:rsidP="00000000" w:rsidRDefault="00000000" w:rsidRPr="00000000" w14:paraId="0000002C">
      <w:pPr>
        <w:rPr/>
      </w:pPr>
      <w:r w:rsidDel="00000000" w:rsidR="00000000" w:rsidRPr="00000000">
        <w:rPr>
          <w:rtl w:val="0"/>
        </w:rPr>
        <w:t xml:space="preserve">Visualización georreferenciada de lotes con capas de datos que indican la etapa de crecimiento, salud foliar y áreas con requerimientos hídricos específicos.</w:t>
      </w:r>
    </w:p>
    <w:p w:rsidR="00000000" w:rsidDel="00000000" w:rsidP="00000000" w:rsidRDefault="00000000" w:rsidRPr="00000000" w14:paraId="0000002D">
      <w:pPr>
        <w:pStyle w:val="Heading3"/>
        <w:rPr/>
      </w:pPr>
      <w:bookmarkStart w:colFirst="0" w:colLast="0" w:name="_r89izt20j5py" w:id="15"/>
      <w:bookmarkEnd w:id="15"/>
      <w:r w:rsidDel="00000000" w:rsidR="00000000" w:rsidRPr="00000000">
        <w:rPr>
          <w:rtl w:val="0"/>
        </w:rPr>
        <w:t xml:space="preserve">4.3. Módulo 3: Monitor de Cartas de Control Estadístico (SPC) y Alertas de Campo</w:t>
      </w:r>
    </w:p>
    <w:p w:rsidR="00000000" w:rsidDel="00000000" w:rsidP="00000000" w:rsidRDefault="00000000" w:rsidRPr="00000000" w14:paraId="0000002E">
      <w:pPr>
        <w:rPr/>
      </w:pPr>
      <w:r w:rsidDel="00000000" w:rsidR="00000000" w:rsidRPr="00000000">
        <w:rPr>
          <w:rtl w:val="0"/>
        </w:rPr>
        <w:t xml:space="preserve">Visualización en tiempo real de cartas de control con límites </w:t>
      </w:r>
      <w:r w:rsidDel="00000000" w:rsidR="00000000" w:rsidRPr="00000000">
        <w:rPr>
          <w:b w:val="1"/>
          <w:bCs w:val="1"/>
          <w:rtl w:val="0"/>
        </w:rPr>
        <w:t xml:space="preserve">UCL (Upper Control Limit)</w:t>
      </w:r>
      <w:r w:rsidDel="00000000" w:rsidR="00000000" w:rsidRPr="00000000">
        <w:rPr>
          <w:rtl w:val="0"/>
        </w:rPr>
        <w:t xml:space="preserve"> y </w:t>
      </w:r>
      <w:r w:rsidDel="00000000" w:rsidR="00000000" w:rsidRPr="00000000">
        <w:rPr>
          <w:b w:val="1"/>
          <w:bCs w:val="1"/>
          <w:rtl w:val="0"/>
        </w:rPr>
        <w:t xml:space="preserve">LCL (Lower Control Limit)</w:t>
      </w:r>
      <w:r w:rsidDel="00000000" w:rsidR="00000000" w:rsidRPr="00000000">
        <w:rPr>
          <w:rtl w:val="0"/>
        </w:rPr>
        <w:t xml:space="preserve"> para variables críticas como humedad del suelo y concentración de nutrientes. El sistema resalta automáticamente en rojo los puntos que rompen las reglas de </w:t>
      </w:r>
      <w:r w:rsidDel="00000000" w:rsidR="00000000" w:rsidRPr="00000000">
        <w:rPr>
          <w:b w:val="1"/>
          <w:bCs w:val="1"/>
          <w:rtl w:val="0"/>
        </w:rPr>
        <w:t xml:space="preserve">Western Electric</w:t>
      </w:r>
      <w:r w:rsidDel="00000000" w:rsidR="00000000" w:rsidRPr="00000000">
        <w:rPr>
          <w:rtl w:val="0"/>
        </w:rPr>
        <w:t xml:space="preserve">, disparando alertas inmediatas de intervención.</w:t>
      </w:r>
    </w:p>
    <w:p w:rsidR="00000000" w:rsidDel="00000000" w:rsidP="00000000" w:rsidRDefault="00000000" w:rsidRPr="00000000" w14:paraId="0000002F">
      <w:pPr>
        <w:pStyle w:val="Heading3"/>
        <w:rPr/>
      </w:pPr>
      <w:bookmarkStart w:colFirst="0" w:colLast="0" w:name="_rva2c0tcrdyx" w:id="16"/>
      <w:bookmarkEnd w:id="16"/>
      <w:r w:rsidDel="00000000" w:rsidR="00000000" w:rsidRPr="00000000">
        <w:rPr>
          <w:rtl w:val="0"/>
        </w:rPr>
        <w:t xml:space="preserve">4.4. Módulo 4: Cuaderno de Campo Digital</w:t>
      </w:r>
    </w:p>
    <w:p w:rsidR="00000000" w:rsidDel="00000000" w:rsidP="00000000" w:rsidRDefault="00000000" w:rsidRPr="00000000" w14:paraId="00000030">
      <w:pPr>
        <w:rPr/>
      </w:pPr>
      <w:r w:rsidDel="00000000" w:rsidR="00000000" w:rsidRPr="00000000">
        <w:rPr>
          <w:rtl w:val="0"/>
        </w:rPr>
        <w:t xml:space="preserve">Registro optimizado con "un solo toque" para aplicaciones de fertilizantes, horas de uso de tractor y jornales. Cada registro incluye automáticamente coordenadas GPS y permite la adjunción de fotografías como evidencia de la labor realizada, todo en modo offline.</w:t>
      </w:r>
    </w:p>
    <w:p w:rsidR="00000000" w:rsidDel="00000000" w:rsidP="00000000" w:rsidRDefault="00000000" w:rsidRPr="00000000" w14:paraId="00000031">
      <w:pPr>
        <w:pStyle w:val="Heading3"/>
        <w:rPr/>
      </w:pPr>
      <w:bookmarkStart w:colFirst="0" w:colLast="0" w:name="_tk9rpwe9uzm" w:id="17"/>
      <w:bookmarkEnd w:id="17"/>
      <w:r w:rsidDel="00000000" w:rsidR="00000000" w:rsidRPr="00000000">
        <w:rPr>
          <w:rtl w:val="0"/>
        </w:rPr>
        <w:t xml:space="preserve">4.5. Módulo 5: Visor de Dashboards BI</w:t>
      </w:r>
    </w:p>
    <w:p w:rsidR="00000000" w:rsidDel="00000000" w:rsidP="00000000" w:rsidRDefault="00000000" w:rsidRPr="00000000" w14:paraId="00000032">
      <w:pPr>
        <w:rPr/>
      </w:pPr>
      <w:r w:rsidDel="00000000" w:rsidR="00000000" w:rsidRPr="00000000">
        <w:rPr>
          <w:rtl w:val="0"/>
        </w:rPr>
        <w:t xml:space="preserve">Visualización de gráficos de cascada (</w:t>
      </w:r>
      <w:r w:rsidDel="00000000" w:rsidR="00000000" w:rsidRPr="00000000">
        <w:rPr>
          <w:i w:val="1"/>
          <w:iCs w:val="1"/>
          <w:rtl w:val="0"/>
        </w:rPr>
        <w:t xml:space="preserve">waterfall charts</w:t>
      </w:r>
      <w:r w:rsidDel="00000000" w:rsidR="00000000" w:rsidRPr="00000000">
        <w:rPr>
          <w:rtl w:val="0"/>
        </w:rPr>
        <w:t xml:space="preserve">) que detallan el margen operativo por lote en moneda local y dólares. Permite comparar en tiempo real los rendimientos proyectados contra los reales y analizar la calidad de poscosecha.</w:t>
      </w:r>
    </w:p>
    <w:p w:rsidR="00000000" w:rsidDel="00000000" w:rsidP="00000000" w:rsidRDefault="00000000" w:rsidRPr="00000000" w14:paraId="00000033">
      <w:pPr>
        <w:pStyle w:val="Heading3"/>
        <w:rPr/>
      </w:pPr>
      <w:bookmarkStart w:colFirst="0" w:colLast="0" w:name="_ryxh9h7blj0v" w:id="18"/>
      <w:bookmarkEnd w:id="18"/>
      <w:r w:rsidDel="00000000" w:rsidR="00000000" w:rsidRPr="00000000">
        <w:rPr>
          <w:rtl w:val="0"/>
        </w:rPr>
        <w:t xml:space="preserve">4.6. Módulo 6: Bóveda Documental Segura y Certificados Digitales de Exportación</w:t>
      </w:r>
    </w:p>
    <w:p w:rsidR="00000000" w:rsidDel="00000000" w:rsidP="00000000" w:rsidRDefault="00000000" w:rsidRPr="00000000" w14:paraId="00000034">
      <w:pPr>
        <w:rPr/>
      </w:pPr>
      <w:r w:rsidDel="00000000" w:rsidR="00000000" w:rsidRPr="00000000">
        <w:rPr>
          <w:rtl w:val="0"/>
        </w:rPr>
        <w:t xml:space="preserve">Repositorio para el almacenamiento de títulos de propiedad, certificaciones fitosanitarias y documentos necesarios para el comercio internacional, accesibles instantáneamente para auditorías.</w:t>
      </w:r>
    </w:p>
    <w:p w:rsidR="00000000" w:rsidDel="00000000" w:rsidP="00000000" w:rsidRDefault="00000000" w:rsidRPr="00000000" w14:paraId="00000035">
      <w:pPr>
        <w:pStyle w:val="Heading3"/>
        <w:rPr/>
      </w:pPr>
      <w:bookmarkStart w:colFirst="0" w:colLast="0" w:name="_bnn6mxgcie42" w:id="19"/>
      <w:bookmarkEnd w:id="19"/>
      <w:r w:rsidDel="00000000" w:rsidR="00000000" w:rsidRPr="00000000">
        <w:rPr>
          <w:rtl w:val="0"/>
        </w:rPr>
        <w:t xml:space="preserve">4.7. Módulo 7: Liquidación de Valor Compartido (Share-of-Gain), Facturación y Firma Digital</w:t>
      </w:r>
    </w:p>
    <w:p w:rsidR="00000000" w:rsidDel="00000000" w:rsidP="00000000" w:rsidRDefault="00000000" w:rsidRPr="00000000" w14:paraId="00000036">
      <w:pPr>
        <w:rPr/>
      </w:pPr>
      <w:r w:rsidDel="00000000" w:rsidR="00000000" w:rsidRPr="00000000">
        <w:rPr>
          <w:rtl w:val="0"/>
        </w:rPr>
        <w:t xml:space="preserve">Gestión de la transparencia financiera. Incluye el mecanismo de </w:t>
      </w:r>
      <w:r w:rsidDel="00000000" w:rsidR="00000000" w:rsidRPr="00000000">
        <w:rPr>
          <w:b w:val="1"/>
          <w:bCs w:val="1"/>
          <w:rtl w:val="0"/>
        </w:rPr>
        <w:t xml:space="preserve">firma criptográfica</w:t>
      </w:r>
      <w:r w:rsidDel="00000000" w:rsidR="00000000" w:rsidRPr="00000000">
        <w:rPr>
          <w:rtl w:val="0"/>
        </w:rPr>
        <w:t xml:space="preserve"> del agricultor para certificar el ahorro generado en insumos y autorizar formalmente el pago de la tarifa de valor compartido (</w:t>
      </w:r>
      <w:r w:rsidDel="00000000" w:rsidR="00000000" w:rsidRPr="00000000">
        <w:rPr>
          <w:i w:val="1"/>
          <w:iCs w:val="1"/>
          <w:rtl w:val="0"/>
        </w:rPr>
        <w:t xml:space="preserve">Share-of-Gain</w:t>
      </w:r>
      <w:r w:rsidDel="00000000" w:rsidR="00000000" w:rsidRPr="00000000">
        <w:rPr>
          <w:rtl w:val="0"/>
        </w:rPr>
        <w:t xml:space="preserve">).</w:t>
      </w:r>
    </w:p>
    <w:p w:rsidR="00000000" w:rsidDel="00000000" w:rsidP="00000000" w:rsidRDefault="00000000" w:rsidRPr="00000000" w14:paraId="00000037">
      <w:pPr>
        <w:pStyle w:val="Heading3"/>
        <w:rPr/>
      </w:pPr>
      <w:bookmarkStart w:colFirst="0" w:colLast="0" w:name="_af63us5tq3jc" w:id="20"/>
      <w:bookmarkEnd w:id="20"/>
      <w:r w:rsidDel="00000000" w:rsidR="00000000" w:rsidRPr="00000000">
        <w:rPr>
          <w:rtl w:val="0"/>
        </w:rPr>
        <w:t>4.8. Módulo 8: Canal de Asesoría Bioestadística y Acompañamiento en Optimización de Procesos</w:t>
      </w:r>
    </w:p>
    <w:p w:rsidR="00000000" w:rsidDel="00000000" w:rsidP="00000000" w:rsidRDefault="00000000" w:rsidRPr="00000000" w14:paraId="00000038">
      <w:pPr>
        <w:rPr/>
      </w:pPr>
      <w:r w:rsidDel="00000000" w:rsidR="00000000" w:rsidRPr="00000000">
        <w:rPr>
          <w:rtl w:val="0"/>
        </w:rPr>
        <w:t>Interfaz de consulta directa con los ingenieros bioestadísticos y agrónomos de la compañía para la interpretación de cartas SPC y planes de mejora.</w:t>
      </w:r>
    </w:p>
    <w:p w:rsidR="00000000" w:rsidDel="00000000" w:rsidP="00000000" w:rsidRDefault="00000000" w:rsidRPr="00000000" w14:paraId="00000039">
      <w:pPr>
        <w:pStyle w:val="Heading2"/>
        <w:rPr/>
      </w:pPr>
      <w:bookmarkStart w:colFirst="0" w:colLast="0" w:name="_cuy1jpo6m34n" w:id="21"/>
      <w:bookmarkEnd w:id="21"/>
      <w:r w:rsidDel="00000000" w:rsidR="00000000" w:rsidRPr="00000000">
        <w:rPr>
          <w:rtl w:val="0"/>
        </w:rPr>
        <w:t xml:space="preserve">5. ARQUITECTURA DE INFORMACIÓN Y DISEÑO DE INTERFAZ UI/UX DE CAMPO</w:t>
      </w:r>
    </w:p>
    <w:p w:rsidR="00000000" w:rsidDel="00000000" w:rsidP="00000000" w:rsidRDefault="00000000" w:rsidRPr="00000000" w14:paraId="0000003A">
      <w:pPr>
        <w:pStyle w:val="Heading3"/>
        <w:rPr/>
      </w:pPr>
      <w:bookmarkStart w:colFirst="0" w:colLast="0" w:name="_8f5hfnk5wrp6" w:id="22"/>
      <w:bookmarkEnd w:id="22"/>
      <w:r w:rsidDel="00000000" w:rsidR="00000000" w:rsidRPr="00000000">
        <w:rPr>
          <w:rtl w:val="0"/>
        </w:rPr>
        <w:t xml:space="preserve">5.1. Modo Exterior de Alto Contraste</w:t>
      </w:r>
    </w:p>
    <w:p w:rsidR="00000000" w:rsidDel="00000000" w:rsidP="00000000" w:rsidRDefault="00000000" w:rsidRPr="00000000" w14:paraId="0000003B">
      <w:pPr>
        <w:rPr/>
      </w:pPr>
      <w:r w:rsidDel="00000000" w:rsidR="00000000" w:rsidRPr="00000000">
        <w:rPr>
          <w:rtl w:val="0"/>
        </w:rPr>
        <w:t xml:space="preserve">Implementación de un esquema visual de alto contraste (</w:t>
      </w:r>
      <w:r w:rsidDel="00000000" w:rsidR="00000000" w:rsidRPr="00000000">
        <w:rPr>
          <w:i w:val="1"/>
          <w:iCs w:val="1"/>
          <w:rtl w:val="0"/>
        </w:rPr>
        <w:t xml:space="preserve">High Contrast Sunlight Mode</w:t>
      </w:r>
      <w:r w:rsidDel="00000000" w:rsidR="00000000" w:rsidRPr="00000000">
        <w:rPr>
          <w:rtl w:val="0"/>
        </w:rPr>
        <w:t xml:space="preserve">) diseñado específicamente para evitar reflejos y garantizar la legibilidad bajo luz solar extrema en plantaciones abiertas.</w:t>
      </w:r>
    </w:p>
    <w:p w:rsidR="00000000" w:rsidDel="00000000" w:rsidP="00000000" w:rsidRDefault="00000000" w:rsidRPr="00000000" w14:paraId="0000003C">
      <w:pPr>
        <w:pStyle w:val="Heading3"/>
        <w:rPr/>
      </w:pPr>
      <w:bookmarkStart w:colFirst="0" w:colLast="0" w:name="_wvpgka191h0k" w:id="23"/>
      <w:bookmarkEnd w:id="23"/>
      <w:r w:rsidDel="00000000" w:rsidR="00000000" w:rsidRPr="00000000">
        <w:rPr>
          <w:rtl w:val="0"/>
        </w:rPr>
        <w:t xml:space="preserve">5.2. Ergonomía Visual y Confirmación Háptica</w:t>
      </w:r>
    </w:p>
    <w:p w:rsidR="00000000" w:rsidDel="00000000" w:rsidP="00000000" w:rsidRDefault="00000000" w:rsidRPr="00000000" w14:paraId="0000003D">
      <w:pPr>
        <w:rPr/>
      </w:pPr>
      <w:r w:rsidDel="00000000" w:rsidR="00000000" w:rsidRPr="00000000">
        <w:rPr>
          <w:rtl w:val="0"/>
        </w:rPr>
        <w:t xml:space="preserve">Uso de botones de interfaz sobredimensionados para facilitar la interacción de operarios que utilicen guantes o manejen dispositivos con pantallas salpicadas por agua. Se integra retroalimentación háptica para confirmar cada acción exitosa.</w:t>
      </w:r>
    </w:p>
    <w:p w:rsidR="00000000" w:rsidDel="00000000" w:rsidP="00000000" w:rsidRDefault="00000000" w:rsidRPr="00000000" w14:paraId="0000003E">
      <w:pPr>
        <w:pStyle w:val="Heading2"/>
        <w:rPr/>
      </w:pPr>
      <w:bookmarkStart w:colFirst="0" w:colLast="0" w:name="_4j5fwngazebe" w:id="24"/>
      <w:bookmarkEnd w:id="24"/>
      <w:r w:rsidDel="00000000" w:rsidR="00000000" w:rsidRPr="00000000">
        <w:rPr>
          <w:rtl w:val="0"/>
        </w:rPr>
        <w:t xml:space="preserve">6. SEGURIDAD, PRIVACIDAD DE DATOS DE TIERRA Y CIFRADO MÓVIL LOCAL</w:t>
      </w:r>
    </w:p>
    <w:p w:rsidR="00000000" w:rsidDel="00000000" w:rsidP="00000000" w:rsidRDefault="00000000" w:rsidRPr="00000000" w14:paraId="0000003F">
      <w:pPr>
        <w:rPr/>
      </w:pPr>
      <w:r w:rsidDel="00000000" w:rsidR="00000000" w:rsidRPr="00000000">
        <w:rPr>
          <w:rtl w:val="0"/>
        </w:rPr>
        <w:t xml:space="preserve">La plataforma implementa un cifrado </w:t>
      </w:r>
      <w:r w:rsidDel="00000000" w:rsidR="00000000" w:rsidRPr="00000000">
        <w:rPr>
          <w:b w:val="1"/>
          <w:bCs w:val="1"/>
          <w:rtl w:val="0"/>
        </w:rPr>
        <w:t xml:space="preserve">AES-256</w:t>
      </w:r>
      <w:r w:rsidDel="00000000" w:rsidR="00000000" w:rsidRPr="00000000">
        <w:rPr>
          <w:rtl w:val="0"/>
        </w:rPr>
        <w:t xml:space="preserve"> para la base de datos local en el dispositivo. El acceso está restringido mediante biometría o un PIN de desbloqueo rápido. Se ratifica la garantía legal de protección de datos bajo la estricta política de soberanía del dato establecida en el Documento 04, asegurando que la información de la finca es propiedad exclusiva del productor y gestionada bajo parámetros de confidencialidad corporativa.</w:t>
      </w:r>
    </w:p>
    <w:p w:rsidR="00000000" w:rsidDel="00000000" w:rsidP="00000000" w:rsidRDefault="00000000" w:rsidRPr="00000000" w14:paraId="00000040">
      <w:pPr>
        <w:pStyle w:val="Heading2"/>
        <w:rPr/>
      </w:pPr>
      <w:bookmarkStart w:colFirst="0" w:colLast="0" w:name="_t76affa09e10" w:id="25"/>
      <w:bookmarkEnd w:id="25"/>
      <w:r w:rsidDel="00000000" w:rsidR="00000000" w:rsidRPr="00000000">
        <w:rPr>
          <w:rtl w:val="0"/>
        </w:rPr>
        <w:t xml:space="preserve">7. PLAN DE DESPLIEGUE, DESPLIEGUE EN FINCAS Y TIENDAS DIGITALES</w:t>
      </w:r>
    </w:p>
    <w:p w:rsidR="00000000" w:rsidDel="00000000" w:rsidP="00000000" w:rsidRDefault="00000000" w:rsidRPr="00000000" w14:paraId="00000041">
      <w:pPr>
        <w:rPr/>
      </w:pPr>
      <w:r w:rsidDel="00000000" w:rsidR="00000000" w:rsidRPr="00000000">
        <w:rPr>
          <w:rtl w:val="0"/>
        </w:rPr>
        <w:t>El despliegue se realizará garantizando acceso web responsive para computadores de gerencia y aplicación móvil multiplataforma (Android/iOS) para los administradores y técnicos de finca, asegurando compatibilidad con los dispositivos existentes.</w:t>
      </w:r>
    </w:p>
    <w:p w:rsidR="00000000" w:rsidDel="00000000" w:rsidP="00000000" w:rsidRDefault="00000000" w:rsidRPr="00000000" w14:paraId="00000042">
      <w:pPr>
        <w:pStyle w:val="Heading2"/>
        <w:rPr/>
      </w:pPr>
      <w:bookmarkStart w:colFirst="0" w:colLast="0" w:name="_8yrqf7sd3273" w:id="26"/>
      <w:bookmarkEnd w:id="26"/>
      <w:r w:rsidDel="00000000" w:rsidR="00000000" w:rsidRPr="00000000">
        <w:rPr>
          <w:rtl w:val="0"/>
        </w:rPr>
        <w:t xml:space="preserve">8. EPÍLOGO: EL REPOSITORIO DOCUMENTAL COMPLETO Y SINERGIA CON STATSFIRM CO.</w:t>
      </w:r>
    </w:p>
    <w:p w:rsidR="00000000" w:rsidDel="00000000" w:rsidP="00000000" w:rsidRDefault="00000000" w:rsidRPr="00000000" w14:paraId="00000043">
      <w:pPr>
        <w:rPr/>
      </w:pPr>
      <w:r w:rsidDel="00000000" w:rsidR="00000000" w:rsidRPr="00000000">
        <w:rPr>
          <w:rtl w:val="0"/>
        </w:rPr>
        <w:t xml:space="preserve">Con la entrega de este Documento 10, Agro Stat &amp; Tech Co. consolida su suite documental técnica, demostrando una integración sistémica sin precedentes entre la agronomía de precisión y la ingeniería de software. Esta plataforma es el resultado de la sinergia con </w:t>
      </w:r>
      <w:r w:rsidDel="00000000" w:rsidR="00000000" w:rsidRPr="00000000">
        <w:rPr>
          <w:b w:val="1"/>
          <w:bCs w:val="1"/>
          <w:rtl w:val="0"/>
        </w:rPr>
        <w:t xml:space="preserve">Statsfirm Co.</w:t>
      </w:r>
      <w:r w:rsidDel="00000000" w:rsidR="00000000" w:rsidRPr="00000000">
        <w:rPr>
          <w:rtl w:val="0"/>
        </w:rPr>
        <w:t xml:space="preserve">, capitalizando su metodología, arquitectura y cultura de ingeniería para transformar el campo en una industria altamente rentable, basada en datos y con un profundo impacto social en la cadena de valor agroindustrial.</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a2b3c"/>
      <w:sz w:val="36"/>
      <w:szCs w:val="3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4425e"/>
      <w:sz w:val="32"/>
      <w:szCs w:val="32"/>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2e5984"/>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b3c"/>
      <w:sz w:val="44"/>
      <w:szCs w:val="44"/>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1"/>
      <w:iCs w:val="1"/>
      <w:color w:val="546e7a"/>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37474f"/>
        <w:sz w:val="22"/>
        <w:szCs w:val="22"/>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