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7jjnkcxycbm"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1aqvpr94ae4a" w:id="1"/>
      <w:bookmarkEnd w:id="1"/>
      <w:r w:rsidDel="00000000" w:rsidR="00000000" w:rsidRPr="00000000">
        <w:rPr>
          <w:rtl w:val="0"/>
        </w:rPr>
        <w:t xml:space="preserve">ESPECIFICACIÓN TÉCNICA, ARQUITECTURA CLEAN Y DISEÑO IHC DEL PORTAL WEB CORPORATIVO</w:t>
      </w:r>
    </w:p>
    <w:p w:rsidR="00000000" w:rsidDel="00000000" w:rsidP="00000000" w:rsidRDefault="00000000" w:rsidRPr="00000000" w14:paraId="00000003">
      <w:pPr>
        <w:pStyle w:val="Heading2"/>
        <w:rPr/>
      </w:pPr>
      <w:bookmarkStart w:colFirst="0" w:colLast="0" w:name="_qacowpip1x6u" w:id="2"/>
      <w:bookmarkEnd w:id="2"/>
      <w:r w:rsidDel="00000000" w:rsidR="00000000" w:rsidRPr="00000000">
        <w:rPr>
          <w:rtl w:val="0"/>
        </w:rPr>
        <w:t xml:space="preserve">Código: AST-DSGN-WEB-012 | Versión: 1.0 | Clasificación: Ingeniería &amp; Producto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f1a49kj3h9y2" w:id="3"/>
      <w:bookmarkEnd w:id="3"/>
      <w:r w:rsidDel="00000000" w:rsidR="00000000" w:rsidRPr="00000000">
        <w:rPr>
          <w:rtl w:val="0"/>
        </w:rPr>
        <w:t xml:space="preserve">CONTROL DOCUMENTAL Y GESTIÓN DE VERSIONES</w:t>
      </w:r>
    </w:p>
    <w:tbl>
      <w:tblPr>
        <w:tblStyle w:val="Table1"/>
        <w:tblW w:w="21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Web Architecture &amp; HCI Practice</w:t>
            </w:r>
          </w:p>
        </w:tc>
        <w:tc>
          <w:tcPr/>
          <w:p w:rsidR="00000000" w:rsidDel="00000000" w:rsidP="00000000" w:rsidRDefault="00000000" w:rsidRPr="00000000" w14:paraId="0000000F">
            <w:pPr>
              <w:rPr/>
            </w:pPr>
            <w:r w:rsidDel="00000000" w:rsidR="00000000" w:rsidRPr="00000000">
              <w:rPr>
                <w:rtl w:val="0"/>
              </w:rPr>
              <w:t xml:space="preserve">CTO &amp; Lead Agricultural UX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 arquitectura, IHC, Heurísticas de Nielsen y SWEBOK.</w:t>
            </w:r>
          </w:p>
        </w:tc>
      </w:tr>
    </w:tbl>
    <w:p w:rsidR="00000000" w:rsidDel="00000000" w:rsidP="00000000" w:rsidRDefault="00000000" w:rsidRPr="00000000" w14:paraId="00000012">
      <w:pPr>
        <w:pStyle w:val="Heading2"/>
        <w:rPr/>
      </w:pPr>
      <w:bookmarkStart w:colFirst="0" w:colLast="0" w:name="_lzwq7ygqhxz9" w:id="4"/>
      <w:bookmarkEnd w:id="4"/>
      <w:r w:rsidDel="00000000" w:rsidR="00000000" w:rsidRPr="00000000">
        <w:rPr>
          <w:rtl w:val="0"/>
        </w:rPr>
        <w:t xml:space="preserve">ÍNDICE GENERAL</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Resumen Ejecutivo y Visión del Portal Web</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Mapeo Exhaustivo de las Cinco Secciones Clave</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Directrices Estéticas: Minimalismo en Fondo Blanco</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Fundamentos de Interacción Humano-Computador (IHC)</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Matriz de Cumplimiento de las Diez Heurísticas de Jakob Nielsen</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Alineación con el Cuerpo de Conocimiento de Ingeniería de Software (SWEBOK v3)</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Clean Architecture en el Frontend</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Estructura y Código Fuente</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Conclusión y Guía de Despliegue</w:t>
      </w:r>
    </w:p>
    <w:p w:rsidR="00000000" w:rsidDel="00000000" w:rsidP="00000000" w:rsidRDefault="00000000" w:rsidRPr="00000000" w14:paraId="0000001C">
      <w:pPr>
        <w:pStyle w:val="Heading2"/>
        <w:rPr/>
      </w:pPr>
      <w:bookmarkStart w:colFirst="0" w:colLast="0" w:name="_kj5jakgqcwa7" w:id="5"/>
      <w:bookmarkEnd w:id="5"/>
      <w:r w:rsidDel="00000000" w:rsidR="00000000" w:rsidRPr="00000000">
        <w:rPr>
          <w:rtl w:val="0"/>
        </w:rPr>
        <w:t xml:space="preserve">1. RESUMEN EJECUTIVO</w:t>
      </w:r>
    </w:p>
    <w:p w:rsidR="00000000" w:rsidDel="00000000" w:rsidP="00000000" w:rsidRDefault="00000000" w:rsidRPr="00000000" w14:paraId="0000001D">
      <w:pPr>
        <w:rPr/>
      </w:pPr>
      <w:r w:rsidDel="00000000" w:rsidR="00000000" w:rsidRPr="00000000">
        <w:rPr>
          <w:rtl w:val="0"/>
        </w:rPr>
        <w:t xml:space="preserve">El portal web de Agro Stat &amp; Tech Co. se define como una aplicación web estática de alto rendimiento, diseñada para trascender el formato de presentación comercial convencional. Su arquitectura integra principios de ingeniería de software avanzada y psicología cognitiva, orientada específicamente al decisor agroindustrial. El sistema prioriza la credibilidad técnica mediante la exposición de datos, interactividad en tiempo real y una estética de rigor científico, eliminando cualquier distracción transaccional para centrarse en el valor estratégico.</w:t>
      </w:r>
    </w:p>
    <w:p w:rsidR="00000000" w:rsidDel="00000000" w:rsidP="00000000" w:rsidRDefault="00000000" w:rsidRPr="00000000" w14:paraId="0000001E">
      <w:pPr>
        <w:pStyle w:val="Heading2"/>
        <w:rPr/>
      </w:pPr>
      <w:bookmarkStart w:colFirst="0" w:colLast="0" w:name="_wsdglvpvpxlg" w:id="6"/>
      <w:bookmarkEnd w:id="6"/>
      <w:r w:rsidDel="00000000" w:rsidR="00000000" w:rsidRPr="00000000">
        <w:rPr>
          <w:rtl w:val="0"/>
        </w:rPr>
        <w:t xml:space="preserve">2. LAS CINCO SECCIONES DETALLADAS</w:t>
      </w:r>
    </w:p>
    <w:p w:rsidR="00000000" w:rsidDel="00000000" w:rsidP="00000000" w:rsidRDefault="00000000" w:rsidRPr="00000000" w14:paraId="0000001F">
      <w:pPr>
        <w:pStyle w:val="Heading3"/>
        <w:rPr/>
      </w:pPr>
      <w:bookmarkStart w:colFirst="0" w:colLast="0" w:name="_t5v3angmeoot" w:id="7"/>
      <w:bookmarkEnd w:id="7"/>
      <w:r w:rsidDel="00000000" w:rsidR="00000000" w:rsidRPr="00000000">
        <w:rPr>
          <w:rtl w:val="0"/>
        </w:rPr>
        <w:t xml:space="preserve">2.1. Sección 1: Quiénes Somos</w:t>
      </w:r>
    </w:p>
    <w:p w:rsidR="00000000" w:rsidDel="00000000" w:rsidP="00000000" w:rsidRDefault="00000000" w:rsidRPr="00000000" w14:paraId="00000020">
      <w:pPr>
        <w:rPr/>
      </w:pPr>
      <w:r w:rsidDel="00000000" w:rsidR="00000000" w:rsidRPr="00000000">
        <w:rPr>
          <w:rtl w:val="0"/>
        </w:rPr>
        <w:t xml:space="preserve">Como spin-off de Statsfirm Co., nuestra identidad reside en la intersección de la agronomía y la estadística avanzada. Nuestra cultura "Botas y Código" refleja el compromiso de llevar la tecnificación matemática directamente al surco.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7"/>
        </w:numPr>
        <w:ind w:left="720" w:hanging="360"/>
      </w:pPr>
      <w:r w:rsidDel="00000000" w:rsidR="00000000" w:rsidRPr="00000000">
        <w:rPr>
          <w:b w:val="1"/>
          <w:bCs w:val="1"/>
          <w:rtl w:val="0"/>
        </w:rPr>
        <w:t xml:space="preserve">Misión:</w:t>
      </w:r>
      <w:r w:rsidDel="00000000" w:rsidR="00000000" w:rsidRPr="00000000">
        <w:rPr>
          <w:rtl w:val="0"/>
        </w:rPr>
        <w:t xml:space="preserve"> Transformar la incertidumbre biológica en eficiencia operativa mediante modelos estocásticos.</w:t>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Visión:</w:t>
      </w:r>
      <w:r w:rsidDel="00000000" w:rsidR="00000000" w:rsidRPr="00000000">
        <w:rPr>
          <w:rtl w:val="0"/>
        </w:rPr>
        <w:t xml:space="preserve"> Liderar la transición hacia una agricultura regida por datos exactos, no por intuiciones.</w:t>
      </w:r>
    </w:p>
    <w:p w:rsidR="00000000" w:rsidDel="00000000" w:rsidP="00000000" w:rsidRDefault="00000000" w:rsidRPr="00000000" w14:paraId="00000024">
      <w:pPr>
        <w:pStyle w:val="Heading3"/>
        <w:rPr/>
      </w:pPr>
      <w:bookmarkStart w:colFirst="0" w:colLast="0" w:name="_wrf4e6zarfer" w:id="8"/>
      <w:bookmarkEnd w:id="8"/>
      <w:r w:rsidDel="00000000" w:rsidR="00000000" w:rsidRPr="00000000">
        <w:rPr>
          <w:rtl w:val="0"/>
        </w:rPr>
        <w:t xml:space="preserve">2.2. Sección 2: Qué Hacemos</w:t>
      </w:r>
    </w:p>
    <w:p w:rsidR="00000000" w:rsidDel="00000000" w:rsidP="00000000" w:rsidRDefault="00000000" w:rsidRPr="00000000" w14:paraId="00000025">
      <w:pPr>
        <w:rPr/>
      </w:pPr>
      <w:r w:rsidDel="00000000" w:rsidR="00000000" w:rsidRPr="00000000">
        <w:rPr>
          <w:rtl w:val="0"/>
        </w:rPr>
        <w:t xml:space="preserve">Nuestra intervención se divide en tres capas críticas de procesamiento de datos, presentadas mediante pestañas interactivas: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Capa 1 (C1) - Ingesta &amp; Data Contracts: Recepción y validación estricta de registros agropecuarios, planillas de empaque y datos de ERP.</w:t>
      </w: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Capa 2 (C2) - Curaduría/Lakehouse:</w:t>
      </w:r>
      <w:r w:rsidDel="00000000" w:rsidR="00000000" w:rsidRPr="00000000">
        <w:rPr>
          <w:rtl w:val="0"/>
        </w:rPr>
        <w:t xml:space="preserve"> Almacenamiento estructurado de datos históricos de cultivo.</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Capa 3 (C3) - Decisiones/SPC:</w:t>
      </w:r>
      <w:r w:rsidDel="00000000" w:rsidR="00000000" w:rsidRPr="00000000">
        <w:rPr>
          <w:rtl w:val="0"/>
        </w:rPr>
        <w:t xml:space="preserve"> Implementación de Statistical Process Control para la detección temprana de anomalías.</w:t>
      </w:r>
    </w:p>
    <w:p w:rsidR="00000000" w:rsidDel="00000000" w:rsidP="00000000" w:rsidRDefault="00000000" w:rsidRPr="00000000" w14:paraId="0000002A">
      <w:pPr>
        <w:pStyle w:val="Heading3"/>
        <w:rPr/>
      </w:pPr>
      <w:bookmarkStart w:colFirst="0" w:colLast="0" w:name="_fq3xm6os2k5s" w:id="9"/>
      <w:bookmarkEnd w:id="9"/>
      <w:r w:rsidDel="00000000" w:rsidR="00000000" w:rsidRPr="00000000">
        <w:rPr>
          <w:rtl w:val="0"/>
        </w:rPr>
        <w:t xml:space="preserve">2.3. Sección 3: Por Qué Contactarnos</w:t>
      </w:r>
    </w:p>
    <w:tbl>
      <w:tblPr>
        <w:tblStyle w:val="Table2"/>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B">
            <w:pPr>
              <w:rPr/>
            </w:pPr>
            <w:r w:rsidDel="00000000" w:rsidR="00000000" w:rsidRPr="00000000">
              <w:rPr>
                <w:rtl w:val="0"/>
              </w:rPr>
              <w:t xml:space="preserve">Factor</w:t>
            </w:r>
          </w:p>
        </w:tc>
        <w:tc>
          <w:tcPr/>
          <w:p w:rsidR="00000000" w:rsidDel="00000000" w:rsidP="00000000" w:rsidRDefault="00000000" w:rsidRPr="00000000" w14:paraId="0000002C">
            <w:pPr>
              <w:rPr/>
            </w:pPr>
            <w:r w:rsidDel="00000000" w:rsidR="00000000" w:rsidRPr="00000000">
              <w:rPr>
                <w:rtl w:val="0"/>
              </w:rPr>
              <w:t xml:space="preserve">Agricultura Tradicional</w:t>
            </w:r>
          </w:p>
        </w:tc>
        <w:tc>
          <w:tcPr/>
          <w:p w:rsidR="00000000" w:rsidDel="00000000" w:rsidP="00000000" w:rsidRDefault="00000000" w:rsidRPr="00000000" w14:paraId="0000002D">
            <w:pPr>
              <w:rPr/>
            </w:pPr>
            <w:r w:rsidDel="00000000" w:rsidR="00000000" w:rsidRPr="00000000">
              <w:rPr>
                <w:rtl w:val="0"/>
              </w:rPr>
              <w:t xml:space="preserve">Ingeniería Agro-STF</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Toma de decisiones</w:t>
            </w:r>
          </w:p>
        </w:tc>
        <w:tc>
          <w:tcPr/>
          <w:p w:rsidR="00000000" w:rsidDel="00000000" w:rsidP="00000000" w:rsidRDefault="00000000" w:rsidRPr="00000000" w14:paraId="0000002F">
            <w:pPr>
              <w:rPr/>
            </w:pPr>
            <w:r w:rsidDel="00000000" w:rsidR="00000000" w:rsidRPr="00000000">
              <w:rPr>
                <w:rtl w:val="0"/>
              </w:rPr>
              <w:t xml:space="preserve">Basada en experiencia subjetiva</w:t>
            </w:r>
          </w:p>
        </w:tc>
        <w:tc>
          <w:tcPr/>
          <w:p w:rsidR="00000000" w:rsidDel="00000000" w:rsidP="00000000" w:rsidRDefault="00000000" w:rsidRPr="00000000" w14:paraId="00000030">
            <w:pPr>
              <w:rPr/>
            </w:pPr>
            <w:r w:rsidDel="00000000" w:rsidR="00000000" w:rsidRPr="00000000">
              <w:rPr>
                <w:rtl w:val="0"/>
              </w:rPr>
              <w:t xml:space="preserve">Basada en modelos estadísticos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Gestión de recursos</w:t>
            </w:r>
          </w:p>
        </w:tc>
        <w:tc>
          <w:tcPr/>
          <w:p w:rsidR="00000000" w:rsidDel="00000000" w:rsidP="00000000" w:rsidRDefault="00000000" w:rsidRPr="00000000" w14:paraId="00000032">
            <w:pPr>
              <w:rPr/>
            </w:pPr>
            <w:r w:rsidDel="00000000" w:rsidR="00000000" w:rsidRPr="00000000">
              <w:rPr>
                <w:rtl w:val="0"/>
              </w:rPr>
              <w:t xml:space="preserve">Aplicación de calendario fijo</w:t>
            </w:r>
          </w:p>
        </w:tc>
        <w:tc>
          <w:tcPr/>
          <w:p w:rsidR="00000000" w:rsidDel="00000000" w:rsidP="00000000" w:rsidRDefault="00000000" w:rsidRPr="00000000" w14:paraId="00000033">
            <w:pPr>
              <w:rPr/>
            </w:pPr>
            <w:r w:rsidDel="00000000" w:rsidR="00000000" w:rsidRPr="00000000">
              <w:rPr>
                <w:rtl w:val="0"/>
              </w:rPr>
              <w:t xml:space="preserve">Aplicación por demanda biológica</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Control de calidad</w:t>
            </w:r>
          </w:p>
        </w:tc>
        <w:tc>
          <w:tcPr/>
          <w:p w:rsidR="00000000" w:rsidDel="00000000" w:rsidP="00000000" w:rsidRDefault="00000000" w:rsidRPr="00000000" w14:paraId="00000035">
            <w:pPr>
              <w:rPr/>
            </w:pPr>
            <w:r w:rsidDel="00000000" w:rsidR="00000000" w:rsidRPr="00000000">
              <w:rPr>
                <w:rtl w:val="0"/>
              </w:rPr>
              <w:t xml:space="preserve">Reactivo post-cosecha</w:t>
            </w:r>
          </w:p>
        </w:tc>
        <w:tc>
          <w:tcPr/>
          <w:p w:rsidR="00000000" w:rsidDel="00000000" w:rsidP="00000000" w:rsidRDefault="00000000" w:rsidRPr="00000000" w14:paraId="00000036">
            <w:pPr>
              <w:rPr/>
            </w:pPr>
            <w:r w:rsidDel="00000000" w:rsidR="00000000" w:rsidRPr="00000000">
              <w:rPr>
                <w:rtl w:val="0"/>
              </w:rPr>
              <w:t xml:space="preserve">Proactivo mediante SPC</w:t>
            </w:r>
          </w:p>
        </w:tc>
      </w:tr>
    </w:tbl>
    <w:p w:rsidR="00000000" w:rsidDel="00000000" w:rsidP="00000000" w:rsidRDefault="00000000" w:rsidRPr="00000000" w14:paraId="00000037">
      <w:pPr>
        <w:pStyle w:val="Heading3"/>
        <w:rPr/>
      </w:pPr>
      <w:bookmarkStart w:colFirst="0" w:colLast="0" w:name="_ohxc2bt367mo" w:id="10"/>
      <w:bookmarkEnd w:id="10"/>
      <w:r w:rsidDel="00000000" w:rsidR="00000000" w:rsidRPr="00000000">
        <w:rPr>
          <w:rtl w:val="0"/>
        </w:rPr>
        <w:t xml:space="preserve">2.4. Cómo Generamos Valor e Impacto</w:t>
      </w:r>
    </w:p>
    <w:p w:rsidR="00000000" w:rsidDel="00000000" w:rsidP="00000000" w:rsidRDefault="00000000" w:rsidRPr="00000000" w14:paraId="00000038">
      <w:pPr>
        <w:rPr/>
      </w:pPr>
      <w:r w:rsidDel="00000000" w:rsidR="00000000" w:rsidRPr="00000000">
        <w:rPr>
          <w:rtl w:val="0"/>
        </w:rPr>
        <w:t xml:space="preserve">El impacto se mide en métricas de sostenibilidad y rentabilidad: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Reducción del 24% en consumo hídrico.</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Mermas operativas inferiores al 1.8%.</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Incremento del 18% en producto grado exportación.</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Simulador Interactivo:</w:t>
      </w:r>
      <w:r w:rsidDel="00000000" w:rsidR="00000000" w:rsidRPr="00000000">
        <w:rPr>
          <w:rtl w:val="0"/>
        </w:rPr>
        <w:t xml:space="preserve"> Herramienta para proyectar el ROI basado en hectáreas y tipo de cultivo.</w:t>
      </w:r>
    </w:p>
    <w:p w:rsidR="00000000" w:rsidDel="00000000" w:rsidP="00000000" w:rsidRDefault="00000000" w:rsidRPr="00000000" w14:paraId="0000003E">
      <w:pPr>
        <w:pStyle w:val="Heading3"/>
        <w:rPr/>
      </w:pPr>
      <w:bookmarkStart w:colFirst="0" w:colLast="0" w:name="_bab769zaent9" w:id="11"/>
      <w:bookmarkEnd w:id="11"/>
      <w:r w:rsidDel="00000000" w:rsidR="00000000" w:rsidRPr="00000000">
        <w:rPr>
          <w:rtl w:val="0"/>
        </w:rPr>
        <w:t xml:space="preserve">2.5. Contacto</w:t>
      </w:r>
    </w:p>
    <w:p w:rsidR="00000000" w:rsidDel="00000000" w:rsidP="00000000" w:rsidRDefault="00000000" w:rsidRPr="00000000" w14:paraId="0000003F">
      <w:pPr>
        <w:rPr/>
      </w:pPr>
      <w:r w:rsidDel="00000000" w:rsidR="00000000" w:rsidRPr="00000000">
        <w:rPr>
          <w:rtl w:val="0"/>
        </w:rPr>
        <w:t xml:space="preserve">El acceso a nuestra consultoría requiere un diagnóstico técnico preliminar. El formulario de contacto incluye validación preventiva para asegurar la integridad de los datos de la finca, bajo una política estricta de soberanía del dato y confidencialidad industrial.</w:t>
      </w:r>
    </w:p>
    <w:p w:rsidR="00000000" w:rsidDel="00000000" w:rsidP="00000000" w:rsidRDefault="00000000" w:rsidRPr="00000000" w14:paraId="00000040">
      <w:pPr>
        <w:pStyle w:val="Heading2"/>
        <w:rPr/>
      </w:pPr>
      <w:bookmarkStart w:colFirst="0" w:colLast="0" w:name="_53hb7akholil" w:id="12"/>
      <w:bookmarkEnd w:id="12"/>
      <w:r w:rsidDel="00000000" w:rsidR="00000000" w:rsidRPr="00000000">
        <w:rPr>
          <w:rtl w:val="0"/>
        </w:rPr>
        <w:t xml:space="preserve">3. ESTÉTICA MINIMALISTA DE FONDO BLANCO Y SIN PRECIOS</w:t>
      </w:r>
    </w:p>
    <w:p w:rsidR="00000000" w:rsidDel="00000000" w:rsidP="00000000" w:rsidRDefault="00000000" w:rsidRPr="00000000" w14:paraId="00000041">
      <w:pPr>
        <w:pStyle w:val="Heading3"/>
        <w:rPr/>
      </w:pPr>
      <w:bookmarkStart w:colFirst="0" w:colLast="0" w:name="_njv7air1715g" w:id="13"/>
      <w:bookmarkEnd w:id="13"/>
      <w:r w:rsidDel="00000000" w:rsidR="00000000" w:rsidRPr="00000000">
        <w:rPr>
          <w:rtl w:val="0"/>
        </w:rPr>
        <w:t xml:space="preserve">3.1. Racional del Fondo Blanco</w:t>
      </w:r>
    </w:p>
    <w:p w:rsidR="00000000" w:rsidDel="00000000" w:rsidP="00000000" w:rsidRDefault="00000000" w:rsidRPr="00000000" w14:paraId="00000042">
      <w:pPr>
        <w:rPr/>
      </w:pPr>
      <w:r w:rsidDel="00000000" w:rsidR="00000000" w:rsidRPr="00000000">
        <w:rPr>
          <w:rtl w:val="0"/>
        </w:rPr>
        <w:t xml:space="preserve">El uso de #FFFFFF y #F8FAFC no es una elección casual; representa la limpieza visual de un laboratorio de biotecnología. Proporciona el contraste necesario para que los datos estadísticos sean los protagonistas, reduciendo la carga cognitiva y transmitiendo transparencia y rigor científico.</w:t>
      </w:r>
    </w:p>
    <w:p w:rsidR="00000000" w:rsidDel="00000000" w:rsidP="00000000" w:rsidRDefault="00000000" w:rsidRPr="00000000" w14:paraId="00000043">
      <w:pPr>
        <w:pStyle w:val="Heading3"/>
        <w:rPr/>
      </w:pPr>
      <w:bookmarkStart w:colFirst="0" w:colLast="0" w:name="_689tqoajd2s3" w:id="14"/>
      <w:bookmarkEnd w:id="14"/>
      <w:r w:rsidDel="00000000" w:rsidR="00000000" w:rsidRPr="00000000">
        <w:rPr>
          <w:rtl w:val="0"/>
        </w:rPr>
        <w:t xml:space="preserve">3.2. Acentos Cromáticos Controlados</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Deep Forest Green (#064E3B):</w:t>
      </w:r>
      <w:r w:rsidDel="00000000" w:rsidR="00000000" w:rsidRPr="00000000">
        <w:rPr>
          <w:rtl w:val="0"/>
        </w:rPr>
        <w:t xml:space="preserve"> Utilizado para tipografías principales y estructuras, evocando estabilidad y naturaleza técnica.</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Bio Neon Green (#10B981): Aplicado a indicadores de procesos bajo control estadístico (SPC), métricas de capacidad óptima y llamados a la acción, simbolizando precisión analítica.</w:t>
      </w:r>
      <w:r w:rsidDel="00000000" w:rsidR="00000000" w:rsidRPr="00000000">
        <w:rPr>
          <w:rtl w:val="0"/>
        </w:rPr>
      </w:r>
    </w:p>
    <w:p w:rsidR="00000000" w:rsidDel="00000000" w:rsidP="00000000" w:rsidRDefault="00000000" w:rsidRPr="00000000" w14:paraId="00000046">
      <w:pPr>
        <w:pStyle w:val="Heading3"/>
        <w:rPr/>
      </w:pPr>
      <w:bookmarkStart w:colFirst="0" w:colLast="0" w:name="_dpiornolzfeu" w:id="15"/>
      <w:bookmarkEnd w:id="15"/>
      <w:r w:rsidDel="00000000" w:rsidR="00000000" w:rsidRPr="00000000">
        <w:rPr>
          <w:rtl w:val="0"/>
        </w:rPr>
        <w:t xml:space="preserve">3.3. Restricción Negativa Absoluta</w:t>
      </w:r>
    </w:p>
    <w:p w:rsidR="00000000" w:rsidDel="00000000" w:rsidP="00000000" w:rsidRDefault="00000000" w:rsidRPr="00000000" w14:paraId="00000047">
      <w:pPr>
        <w:rPr/>
      </w:pPr>
      <w:r w:rsidDel="00000000" w:rsidR="00000000" w:rsidRPr="00000000">
        <w:rPr>
          <w:rtl w:val="0"/>
        </w:rPr>
        <w:t xml:space="preserve">Queda prohibida la exhibición de precios o paquetes comerciales. La transformación agroindustrial es un servicio de ingeniería a medida. El enfoque debe permanecer en el Retorno de Inversión (ROI) y en la resolución de problemas técnicos específicos tras un diagnóstico formal.</w:t>
      </w:r>
    </w:p>
    <w:p w:rsidR="00000000" w:rsidDel="00000000" w:rsidP="00000000" w:rsidRDefault="00000000" w:rsidRPr="00000000" w14:paraId="00000048">
      <w:pPr>
        <w:pStyle w:val="Heading2"/>
        <w:rPr/>
      </w:pPr>
      <w:bookmarkStart w:colFirst="0" w:colLast="0" w:name="_401wk5xkjjo" w:id="16"/>
      <w:bookmarkEnd w:id="16"/>
      <w:r w:rsidDel="00000000" w:rsidR="00000000" w:rsidRPr="00000000">
        <w:rPr>
          <w:rtl w:val="0"/>
        </w:rPr>
        <w:t xml:space="preserve">4. FUNDAMENTOS DE INTERACCIÓN HUMANO-COMPUTADOR (IHC)</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Ley de Fitts:</w:t>
      </w:r>
      <w:r w:rsidDel="00000000" w:rsidR="00000000" w:rsidRPr="00000000">
        <w:rPr>
          <w:rtl w:val="0"/>
        </w:rPr>
        <w:t xml:space="preserve"> Los botones de acción y controles del simulador poseen áreas táctiles optimizadas (mínimo 44px) para garantizar precisión tanto en dispositivos móviles en campo como en estaciones de escritorio.</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Ley de Hick:</w:t>
      </w:r>
      <w:r w:rsidDel="00000000" w:rsidR="00000000" w:rsidRPr="00000000">
        <w:rPr>
          <w:rtl w:val="0"/>
        </w:rPr>
        <w:t xml:space="preserve"> La navegación se simplifica en cinco secciones claras para reducir el tiempo de decisión del usuario, guiándolo a través del flujo de valor sin saturación.</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Ley de Miller:</w:t>
      </w:r>
      <w:r w:rsidDel="00000000" w:rsidR="00000000" w:rsidRPr="00000000">
        <w:rPr>
          <w:rtl w:val="0"/>
        </w:rPr>
        <w:t xml:space="preserve"> La información técnica se organiza en "chunks" o bloques de máximo 3 a 4 elementos, facilitando la retención de las métricas clave de impacto.</w:t>
      </w:r>
    </w:p>
    <w:p w:rsidR="00000000" w:rsidDel="00000000" w:rsidP="00000000" w:rsidRDefault="00000000" w:rsidRPr="00000000" w14:paraId="0000004C">
      <w:pPr>
        <w:pStyle w:val="Heading2"/>
        <w:rPr/>
      </w:pPr>
      <w:bookmarkStart w:colFirst="0" w:colLast="0" w:name="_kb5wncbl1tcv" w:id="17"/>
      <w:bookmarkEnd w:id="17"/>
      <w:r w:rsidDel="00000000" w:rsidR="00000000" w:rsidRPr="00000000">
        <w:rPr>
          <w:rtl w:val="0"/>
        </w:rPr>
        <w:t xml:space="preserve">5. MATRIZ DE CUMPLIMIENTO DE LAS DIEZ HEURÍSTICAS DE JAKOB NIELSEN</w:t>
      </w:r>
    </w:p>
    <w:tbl>
      <w:tblPr>
        <w:tblStyle w:val="Table3"/>
        <w:tblW w:w="10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D">
            <w:pPr>
              <w:rPr/>
            </w:pPr>
            <w:r w:rsidDel="00000000" w:rsidR="00000000" w:rsidRPr="00000000">
              <w:rPr>
                <w:rtl w:val="0"/>
              </w:rPr>
              <w:t xml:space="preserve">Heurística</w:t>
            </w:r>
          </w:p>
        </w:tc>
        <w:tc>
          <w:tcPr/>
          <w:p w:rsidR="00000000" w:rsidDel="00000000" w:rsidP="00000000" w:rsidRDefault="00000000" w:rsidRPr="00000000" w14:paraId="0000004E">
            <w:pPr>
              <w:rPr/>
            </w:pPr>
            <w:r w:rsidDel="00000000" w:rsidR="00000000" w:rsidRPr="00000000">
              <w:rPr>
                <w:rtl w:val="0"/>
              </w:rPr>
              <w:t xml:space="preserve">Implementación en el Portal</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1. Visibilidad del estado</w:t>
            </w:r>
          </w:p>
        </w:tc>
        <w:tc>
          <w:tcPr/>
          <w:p w:rsidR="00000000" w:rsidDel="00000000" w:rsidP="00000000" w:rsidRDefault="00000000" w:rsidRPr="00000000" w14:paraId="00000050">
            <w:pPr>
              <w:rPr/>
            </w:pPr>
            <w:r w:rsidDel="00000000" w:rsidR="00000000" w:rsidRPr="00000000">
              <w:rPr>
                <w:rtl w:val="0"/>
              </w:rPr>
              <w:t>Barra de progreso de lectura y indicadores de control estadístico en simuladores.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2. Correspondencia mundo real</w:t>
            </w:r>
          </w:p>
        </w:tc>
        <w:tc>
          <w:tcPr/>
          <w:p w:rsidR="00000000" w:rsidDel="00000000" w:rsidP="00000000" w:rsidRDefault="00000000" w:rsidRPr="00000000" w14:paraId="00000052">
            <w:pPr>
              <w:rPr/>
            </w:pPr>
            <w:r w:rsidDel="00000000" w:rsidR="00000000" w:rsidRPr="00000000">
              <w:rPr>
                <w:rtl w:val="0"/>
              </w:rPr>
              <w:t xml:space="preserve">Uso de terminología técnica agronómica y gráficas SPC estándar.</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3. Control y libertad</w:t>
            </w:r>
          </w:p>
        </w:tc>
        <w:tc>
          <w:tcPr/>
          <w:p w:rsidR="00000000" w:rsidDel="00000000" w:rsidP="00000000" w:rsidRDefault="00000000" w:rsidRPr="00000000" w14:paraId="00000054">
            <w:pPr>
              <w:rPr/>
            </w:pPr>
            <w:r w:rsidDel="00000000" w:rsidR="00000000" w:rsidRPr="00000000">
              <w:rPr>
                <w:rtl w:val="0"/>
              </w:rPr>
              <w:t xml:space="preserve">Opción de reinicio en el simulador y navegación no lineal.</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4. Consistencia y estándares</w:t>
            </w:r>
          </w:p>
        </w:tc>
        <w:tc>
          <w:tcPr/>
          <w:p w:rsidR="00000000" w:rsidDel="00000000" w:rsidP="00000000" w:rsidRDefault="00000000" w:rsidRPr="00000000" w14:paraId="00000056">
            <w:pPr>
              <w:rPr/>
            </w:pPr>
            <w:r w:rsidDel="00000000" w:rsidR="00000000" w:rsidRPr="00000000">
              <w:rPr>
                <w:rtl w:val="0"/>
              </w:rPr>
              <w:t xml:space="preserve">UI basada en convenciones web predecibles y patrones atómicos.</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5. Prevención de errores</w:t>
            </w:r>
          </w:p>
        </w:tc>
        <w:tc>
          <w:tcPr/>
          <w:p w:rsidR="00000000" w:rsidDel="00000000" w:rsidP="00000000" w:rsidRDefault="00000000" w:rsidRPr="00000000" w14:paraId="00000058">
            <w:pPr>
              <w:rPr/>
            </w:pPr>
            <w:r w:rsidDel="00000000" w:rsidR="00000000" w:rsidRPr="00000000">
              <w:rPr>
                <w:rtl w:val="0"/>
              </w:rPr>
              <w:t xml:space="preserve">Validaciones inline en el formulario de diagnóstico para evitar envíos fallidos.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6. Reconocimiento vs Recuerdo</w:t>
            </w:r>
          </w:p>
        </w:tc>
        <w:tc>
          <w:tcPr/>
          <w:p w:rsidR="00000000" w:rsidDel="00000000" w:rsidP="00000000" w:rsidRDefault="00000000" w:rsidRPr="00000000" w14:paraId="0000005A">
            <w:pPr>
              <w:rPr/>
            </w:pPr>
            <w:r w:rsidDel="00000000" w:rsidR="00000000" w:rsidRPr="00000000">
              <w:rPr>
                <w:rtl w:val="0"/>
              </w:rPr>
              <w:t xml:space="preserve">Selectores visuales de tipos de cultivo y desafíos comunes siempre visibles.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7. Flexibilidad y eficiencia</w:t>
            </w:r>
          </w:p>
        </w:tc>
        <w:tc>
          <w:tcPr/>
          <w:p w:rsidR="00000000" w:rsidDel="00000000" w:rsidP="00000000" w:rsidRDefault="00000000" w:rsidRPr="00000000" w14:paraId="0000005C">
            <w:pPr>
              <w:rPr/>
            </w:pPr>
            <w:r w:rsidDel="00000000" w:rsidR="00000000" w:rsidRPr="00000000">
              <w:rPr>
                <w:rtl w:val="0"/>
              </w:rPr>
              <w:t xml:space="preserve">Atajos para agendamiento directo desde cualquier sección.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8. Diseño minimalista</w:t>
            </w:r>
          </w:p>
        </w:tc>
        <w:tc>
          <w:tcPr/>
          <w:p w:rsidR="00000000" w:rsidDel="00000000" w:rsidP="00000000" w:rsidRDefault="00000000" w:rsidRPr="00000000" w14:paraId="0000005E">
            <w:pPr>
              <w:rPr/>
            </w:pPr>
            <w:r w:rsidDel="00000000" w:rsidR="00000000" w:rsidRPr="00000000">
              <w:rPr>
                <w:rtl w:val="0"/>
              </w:rPr>
              <w:t xml:space="preserve">Eliminación de ruido visual, priorizando el espacio en blanco (#FFFFFF).</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9. Ayuda en errores</w:t>
            </w:r>
          </w:p>
        </w:tc>
        <w:tc>
          <w:tcPr/>
          <w:p w:rsidR="00000000" w:rsidDel="00000000" w:rsidP="00000000" w:rsidRDefault="00000000" w:rsidRPr="00000000" w14:paraId="00000060">
            <w:pPr>
              <w:rPr/>
            </w:pPr>
            <w:r w:rsidDel="00000000" w:rsidR="00000000" w:rsidRPr="00000000">
              <w:rPr>
                <w:rtl w:val="0"/>
              </w:rPr>
              <w:t xml:space="preserve">Mensajes de error descriptivos y sugerencias de corrección en tiempo real.</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10. Ayuda y documentación</w:t>
            </w:r>
          </w:p>
        </w:tc>
        <w:tc>
          <w:tcPr/>
          <w:p w:rsidR="00000000" w:rsidDel="00000000" w:rsidP="00000000" w:rsidRDefault="00000000" w:rsidRPr="00000000" w14:paraId="00000062">
            <w:pPr>
              <w:rPr/>
            </w:pPr>
            <w:r w:rsidDel="00000000" w:rsidR="00000000" w:rsidRPr="00000000">
              <w:rPr>
                <w:rtl w:val="0"/>
              </w:rPr>
              <w:t xml:space="preserve">Tooltips contextuales sobre términos estadísticos complejos.</w:t>
            </w:r>
          </w:p>
        </w:tc>
      </w:tr>
    </w:tbl>
    <w:p w:rsidR="00000000" w:rsidDel="00000000" w:rsidP="00000000" w:rsidRDefault="00000000" w:rsidRPr="00000000" w14:paraId="00000063">
      <w:pPr>
        <w:pStyle w:val="Heading2"/>
        <w:rPr/>
      </w:pPr>
      <w:bookmarkStart w:colFirst="0" w:colLast="0" w:name="_4rdjxebtp7zj" w:id="18"/>
      <w:bookmarkEnd w:id="18"/>
      <w:r w:rsidDel="00000000" w:rsidR="00000000" w:rsidRPr="00000000">
        <w:rPr>
          <w:rtl w:val="0"/>
        </w:rPr>
        <w:t xml:space="preserve">6. ALINEACIÓN CON SWEBOK V3</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Software Requirements:</w:t>
      </w:r>
      <w:r w:rsidDel="00000000" w:rsidR="00000000" w:rsidRPr="00000000">
        <w:rPr>
          <w:rtl w:val="0"/>
        </w:rPr>
        <w:t xml:space="preserve"> Especificación de requisitos de interfaz de usuario mediante historias de usuario agroindustriales, eliminando ambigüedades en la captura de datos.</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Software Design:</w:t>
      </w:r>
      <w:r w:rsidDel="00000000" w:rsidR="00000000" w:rsidRPr="00000000">
        <w:rPr>
          <w:rtl w:val="0"/>
        </w:rPr>
        <w:t xml:space="preserve"> Arquitectura basada en componentes desacoplados, facilitando el mantenimiento y la escalabilidad del simulador.</w:t>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Software Construction:</w:t>
      </w:r>
      <w:r w:rsidDel="00000000" w:rsidR="00000000" w:rsidRPr="00000000">
        <w:rPr>
          <w:rtl w:val="0"/>
        </w:rPr>
        <w:t xml:space="preserve"> Uso de código semántico HTML5, CSS3 modular y JavaScript ES6+ puro para garantizar un peso mínimo y máxima compatibilidad.</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Software Quality:</w:t>
      </w:r>
      <w:r w:rsidDel="00000000" w:rsidR="00000000" w:rsidRPr="00000000">
        <w:rPr>
          <w:rtl w:val="0"/>
        </w:rPr>
        <w:t xml:space="preserve"> Objetivo de rendimiento P99 &lt; 100ms y cumplimiento de accesibilidad WCAG 2.1 nivel AAA.</w:t>
      </w:r>
    </w:p>
    <w:p w:rsidR="00000000" w:rsidDel="00000000" w:rsidP="00000000" w:rsidRDefault="00000000" w:rsidRPr="00000000" w14:paraId="00000068">
      <w:pPr>
        <w:pStyle w:val="Heading2"/>
        <w:rPr/>
      </w:pPr>
      <w:bookmarkStart w:colFirst="0" w:colLast="0" w:name="_w3t139gcctgv" w:id="19"/>
      <w:bookmarkEnd w:id="19"/>
      <w:r w:rsidDel="00000000" w:rsidR="00000000" w:rsidRPr="00000000">
        <w:rPr>
          <w:rtl w:val="0"/>
        </w:rPr>
        <w:t xml:space="preserve">7. CLEAN ARCHITECTURE EN EL FRONTEND</w:t>
      </w:r>
    </w:p>
    <w:p w:rsidR="00000000" w:rsidDel="00000000" w:rsidP="00000000" w:rsidRDefault="00000000" w:rsidRPr="00000000" w14:paraId="00000069">
      <w:pPr>
        <w:rPr/>
      </w:pPr>
      <w:r w:rsidDel="00000000" w:rsidR="00000000" w:rsidRPr="00000000">
        <w:rPr>
          <w:rtl w:val="0"/>
        </w:rPr>
        <w:t xml:space="preserve">El portal se estructura en capas de responsabilidad única: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Capa de Dominio:</w:t>
      </w:r>
      <w:r w:rsidDel="00000000" w:rsidR="00000000" w:rsidRPr="00000000">
        <w:rPr>
          <w:rtl w:val="0"/>
        </w:rPr>
        <w:t xml:space="preserve"> Entidades </w:t>
      </w:r>
      <w:r w:rsidDel="00000000" w:rsidR="00000000" w:rsidRPr="00000000">
        <w:rPr>
          <w:rFonts w:ascii="Roboto Mono" w:cs="Roboto Mono" w:eastAsia="Roboto Mono" w:hAnsi="Roboto Mono"/>
          <w:color w:val="188038"/>
          <w:rtl w:val="0"/>
        </w:rPr>
        <w:t xml:space="preserve">SimulatorModel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ContactModel</w:t>
      </w:r>
      <w:r w:rsidDel="00000000" w:rsidR="00000000" w:rsidRPr="00000000">
        <w:rPr>
          <w:rtl w:val="0"/>
        </w:rPr>
        <w:t xml:space="preserve"> que contienen las reglas lógicas del negocio bioestadístico.</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Capa de Casos de Uso:</w:t>
      </w:r>
      <w:r w:rsidDel="00000000" w:rsidR="00000000" w:rsidRPr="00000000">
        <w:rPr>
          <w:rtl w:val="0"/>
        </w:rPr>
        <w:t xml:space="preserve"> Interactores como </w:t>
      </w:r>
      <w:r w:rsidDel="00000000" w:rsidR="00000000" w:rsidRPr="00000000">
        <w:rPr>
          <w:rFonts w:ascii="Roboto Mono" w:cs="Roboto Mono" w:eastAsia="Roboto Mono" w:hAnsi="Roboto Mono"/>
          <w:color w:val="188038"/>
          <w:rtl w:val="0"/>
        </w:rPr>
        <w:t xml:space="preserve">CalculateAgroImpactUseCase</w:t>
      </w:r>
      <w:r w:rsidDel="00000000" w:rsidR="00000000" w:rsidRPr="00000000">
        <w:rPr>
          <w:rtl w:val="0"/>
        </w:rPr>
        <w:t xml:space="preserve"> que ejecutan la lógica de cálculo sin conocer la interfaz.</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Capa de Adaptadores:</w:t>
      </w:r>
      <w:r w:rsidDel="00000000" w:rsidR="00000000" w:rsidRPr="00000000">
        <w:rPr>
          <w:rtl w:val="0"/>
        </w:rPr>
        <w:t xml:space="preserve"> Presentadores y controladores que gestionan el estado del DOM y la navegación (</w:t>
      </w:r>
      <w:r w:rsidDel="00000000" w:rsidR="00000000" w:rsidRPr="00000000">
        <w:rPr>
          <w:rFonts w:ascii="Roboto Mono" w:cs="Roboto Mono" w:eastAsia="Roboto Mono" w:hAnsi="Roboto Mono"/>
          <w:color w:val="188038"/>
          <w:rtl w:val="0"/>
        </w:rPr>
        <w:t xml:space="preserve">TabManager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SimulatorPresenter</w:t>
      </w:r>
      <w:r w:rsidDel="00000000" w:rsidR="00000000" w:rsidRPr="00000000">
        <w:rPr>
          <w:rtl w:val="0"/>
        </w:rPr>
        <w:t xml:space="preserve">).</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Capa de Frameworks:</w:t>
      </w:r>
      <w:r w:rsidDel="00000000" w:rsidR="00000000" w:rsidRPr="00000000">
        <w:rPr>
          <w:rtl w:val="0"/>
        </w:rPr>
        <w:t xml:space="preserve"> Acceso directo a las Web APIs del navegador para eventos y renderizado.</w:t>
      </w:r>
    </w:p>
    <w:p w:rsidR="00000000" w:rsidDel="00000000" w:rsidP="00000000" w:rsidRDefault="00000000" w:rsidRPr="00000000" w14:paraId="0000006F">
      <w:pPr>
        <w:pStyle w:val="Heading2"/>
        <w:rPr/>
      </w:pPr>
      <w:bookmarkStart w:colFirst="0" w:colLast="0" w:name="_eoas6v7rbayq" w:id="20"/>
      <w:bookmarkEnd w:id="20"/>
      <w:r w:rsidDel="00000000" w:rsidR="00000000" w:rsidRPr="00000000">
        <w:rPr>
          <w:rtl w:val="0"/>
        </w:rPr>
        <w:t xml:space="preserve">8. ESTRUCTURA Y CÓDIGO FUENTE</w:t>
      </w:r>
    </w:p>
    <w:p w:rsidR="00000000" w:rsidDel="00000000" w:rsidP="00000000" w:rsidRDefault="00000000" w:rsidRPr="00000000" w14:paraId="00000070">
      <w:pPr>
        <w:rPr/>
      </w:pPr>
      <w:r w:rsidDel="00000000" w:rsidR="00000000" w:rsidRPr="00000000">
        <w:rPr>
          <w:rtl w:val="0"/>
        </w:rPr>
        <w:t xml:space="preserve">&lt;!DOCTYPE html&gt;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&lt;html lang="es"&gt;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&lt;head&gt;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&lt;meta charset="UTF-8"&gt;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&lt;title&gt;Agro Stat &amp; Tech Co. | Engineering for the Field&lt;/title&gt;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&lt;style&gt;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:root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--white: #FFFFFF;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--off-white: #F8FAFC;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--forest: #064E3B;</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--neon: #10B981;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--text: #1E293B;</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body { font-family: 'Inter', sans-serif; background: var(--white); color: var(--text); margin: 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header { padding: 2rem; border-bottom: 1px solid var(--off-white);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.hero { max-width: 1200px; margin: 4rem auto; padding: 0 2rem;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.highlight { color: var(--neon); font-weight: bold;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.card { background: var(--off-white); border-radius: 8px; padding: 2rem; margin-top: 2rem;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.btn-primary { background: var(--forest); color: white; padding: 1rem 2rem; border: none; border-radius: 4px; cursor: pointer;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&lt;/style&gt;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&lt;/head&gt;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&lt;body&gt;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&lt;header&gt;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&lt;nav&gt;&lt;strong&gt;AGRO STAT &amp; TECH CO.&lt;/strong&gt;&lt;/nav&gt;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&lt;/header&gt;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&lt;main class="hero"&gt;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&lt;h1&gt;Transformando el Campo mediante &lt;span class="highlight"&gt;Estadística de Procesos&lt;/span&gt;&lt;/h1&gt;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&lt;section id="simulator" class="card"&gt;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&lt;h3&gt;Simulador de Impacto Económico&lt;/h3&gt;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&lt;!-- El motor de Clean Architecture inyecta la lógica aquí --&gt;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&lt;div id="simulator-ui"&gt;&lt;/div&gt;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&lt;/section&gt;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&lt;/main&gt;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&lt;script&gt;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Capa de Dominio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const ROI_FACTOR = 0.18;</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Capa de Caso de Uso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const calculateImpact = (hectares) =&gt; hectares * ROI_FACTOR;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Capa de Presentación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document.addEventListener('DOMContentLoaded', () =&gt;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const container = document.getElementById('simulator-ui');</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container.innerHTML = `&lt;p&gt;Potencial de optimización detectado tras diagnóstico.&lt;/p&gt;`;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&lt;/script&gt;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&lt;/body&gt;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&lt;/html&gt;</w:t>
      </w:r>
    </w:p>
    <w:p w:rsidR="00000000" w:rsidDel="00000000" w:rsidP="00000000" w:rsidRDefault="00000000" w:rsidRPr="00000000" w14:paraId="000000CB">
      <w:pPr>
        <w:pStyle w:val="Heading2"/>
        <w:rPr/>
      </w:pPr>
      <w:bookmarkStart w:colFirst="0" w:colLast="0" w:name="_rcla8mydl0wq" w:id="21"/>
      <w:bookmarkEnd w:id="21"/>
      <w:r w:rsidDel="00000000" w:rsidR="00000000" w:rsidRPr="00000000">
        <w:rPr>
          <w:rtl w:val="0"/>
        </w:rPr>
        <w:t xml:space="preserve">9. CONCLUSIÓN Y GUÍA DE DESPLIEGUE EN PRODUCCIÓN</w:t>
      </w:r>
    </w:p>
    <w:p w:rsidR="00000000" w:rsidDel="00000000" w:rsidP="00000000" w:rsidRDefault="00000000" w:rsidRPr="00000000" w14:paraId="000000CC">
      <w:pPr>
        <w:rPr/>
      </w:pPr>
      <w:r w:rsidDel="00000000" w:rsidR="00000000" w:rsidRPr="00000000">
        <w:rPr>
          <w:rtl w:val="0"/>
        </w:rPr>
        <w:t xml:space="preserve">La arquitectura propuesta garantiza que Agro Stat &amp; Tech Co. se posicione como un referente técnico de alta gama. Se recomienda el despliegue mediante infraestructuras de contenido estático (CDN) como Cloudflare Pages o AWS S3 + CloudFront para asegurar latencias mínimas globales. El mantenimiento debe seguir el principio de integración continua (CI/CD) para preservar la integridad del código semántico y las métricas de calidad SWEBOK.</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64e3b"/>
      <w:sz w:val="37.78"/>
      <w:szCs w:val="37.78"/>
    </w:rPr>
  </w:style>
  <w:style w:type="paragraph" w:styleId="Heading2">
    <w:name w:val="heading 2"/>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064e3b"/>
      <w:sz w:val="35.42"/>
      <w:szCs w:val="35.42"/>
    </w:rPr>
  </w:style>
  <w:style w:type="paragraph" w:styleId="Heading3">
    <w:name w:val="heading 3"/>
    <w:basedOn w:val="Normal"/>
    <w:next w:val="Normal"/>
    <w:pPr>
      <w:keepNext w:val="1"/>
      <w:keepLines w:val="1"/>
      <w:pageBreakBefore w:val="0"/>
      <w:spacing w:after="80" w:before="280" w:line="240" w:lineRule="auto"/>
    </w:pPr>
    <w:rPr>
      <w:rFonts w:ascii="Montserrat" w:cs="Montserrat" w:eastAsia="Montserrat" w:hAnsi="Montserrat"/>
      <w:b w:val="1"/>
      <w:bCs w:val="1"/>
      <w:i w:val="0"/>
      <w:iCs w:val="0"/>
      <w:color w:val="064e3b"/>
      <w:sz w:val="33.18"/>
      <w:szCs w:val="33.18"/>
    </w:rPr>
  </w:style>
  <w:style w:type="paragraph" w:styleId="Heading4">
    <w:name w:val="heading 4"/>
    <w:basedOn w:val="Normal"/>
    <w:next w:val="Normal"/>
    <w:pPr>
      <w:keepNext w:val="1"/>
      <w:keepLines w:val="1"/>
      <w:pageBreakBefore w:val="0"/>
      <w:spacing w:after="40" w:before="240" w:line="240" w:lineRule="auto"/>
    </w:pPr>
    <w:rPr>
      <w:rFonts w:ascii="Montserrat" w:cs="Montserrat" w:eastAsia="Montserrat" w:hAnsi="Montserrat"/>
      <w:b w:val="1"/>
      <w:bCs w:val="1"/>
      <w:i w:val="0"/>
      <w:iCs w:val="0"/>
      <w:color w:val="0f172a"/>
      <w:sz w:val="31.1"/>
      <w:szCs w:val="31.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64e3b"/>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4"/>
        <w:szCs w:val="24"/>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4"/>
        <w:szCs w:val="24"/>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