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nnttpecxh8w" w:id="0"/>
      <w:bookmarkEnd w:id="0"/>
      <w:r w:rsidDel="00000000" w:rsidR="00000000" w:rsidRPr="00000000">
        <w:rPr>
          <w:rtl w:val="0"/>
        </w:rPr>
        <w:t xml:space="preserve">AGRO STAT &amp; TECH CO.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au17ldlxdqt" w:id="1"/>
      <w:bookmarkEnd w:id="1"/>
      <w:r w:rsidDel="00000000" w:rsidR="00000000" w:rsidRPr="00000000">
        <w:rPr>
          <w:rtl w:val="0"/>
        </w:rPr>
        <w:t xml:space="preserve">FICHA TÉCNICA ESTÉTICA: LOGOTIPO, REDES SOCIALES Y ESTRATEGIA VISUAL INTERACTIVA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18c16d7valm" w:id="2"/>
      <w:bookmarkEnd w:id="2"/>
      <w:r w:rsidDel="00000000" w:rsidR="00000000" w:rsidRPr="00000000">
        <w:rPr>
          <w:rtl w:val="0"/>
        </w:rPr>
        <w:t xml:space="preserve">Código: AST-DSGN-SPEC-011 | Versión: 1.0 | Clasificación: Marketing &amp; Brand Identity / Corporativo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|---|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5a8ykpvsrzj" w:id="3"/>
      <w:bookmarkEnd w:id="3"/>
      <w:r w:rsidDel="00000000" w:rsidR="00000000" w:rsidRPr="00000000">
        <w:rPr>
          <w:rtl w:val="0"/>
        </w:rPr>
        <w:t xml:space="preserve">CONTROL DOCUMENTAL Y GESTIÓN DE VERSIONES</w:t>
      </w:r>
    </w:p>
    <w:tbl>
      <w:tblPr>
        <w:tblStyle w:val="Table1"/>
        <w:tblW w:w="2100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e5e7eb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Elaborado por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Revisado por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Aprobado por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Septiembre 2026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Brand Strategy, Creative Direction &amp; Social Media Practice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Chief Technology Officer &amp; Lead Agricultural UX Designer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Junta Directiva / Board of Directors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estética formal del logotipo, guía de redes y estrategias de ganchos (hooks).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ybg8k0d9wax5" w:id="4"/>
      <w:bookmarkEnd w:id="4"/>
      <w:r w:rsidDel="00000000" w:rsidR="00000000" w:rsidRPr="00000000">
        <w:rPr>
          <w:rtl w:val="0"/>
        </w:rPr>
        <w:t xml:space="preserve">ÍNDICE GENERAL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Concepto Creativo Central: El Contraste "Bosque Profundo &amp; Precisión Bio-Digital"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Ficha Técnica de Construcción del Logotipo: Fondo de Bosque con Opacidad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Ficha Técnica de Redes Sociales: Especificaciones de Formatos y Dimensiones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Guía de Composición y Arquitectura Visual de Posts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Sistema Tipográfico para Redes Sociales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Estrategia de Ganchos Visuales y Copywriting (Hooks de Alta Retención)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Mecánicas de Interactividad y Participación del Usuario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Catálogo de Plantillas de Publicación (Templates Estándar)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Checklist de Control de Calidad antes de Publicar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8djew7osv22i" w:id="5"/>
      <w:bookmarkEnd w:id="5"/>
      <w:r w:rsidDel="00000000" w:rsidR="00000000" w:rsidRPr="00000000">
        <w:rPr>
          <w:rtl w:val="0"/>
        </w:rPr>
        <w:t xml:space="preserve">1. CONCEPTO CREATIVO CENTRAL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estética de Agro Stat &amp; Tech Co. fusiona la belleza salvaje y orgánica de la naturaleza con la precisión implacable de la ciencia de datos. El contraste fundamental radica en un fondo fotográfico de bosque natural con profundidad y atmósfera orgánica, atenuado por un velo de opacidad calculada, sobre el cual resalta de forma luminosa el logotipo de la empresa: una plántula cartesiana con pulso de datos y curva gaussiana.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ka1piwq9xwy" w:id="6"/>
      <w:bookmarkEnd w:id="6"/>
      <w:r w:rsidDel="00000000" w:rsidR="00000000" w:rsidRPr="00000000">
        <w:rPr>
          <w:rtl w:val="0"/>
        </w:rPr>
        <w:t xml:space="preserve">2. FICHA TÉCNICA DEL LOGOTIPO SOBRE FONDO DE BOSQUE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2.1. Tratamiento del Fondo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Fotografía:</w:t>
      </w:r>
      <w:r w:rsidDel="00000000" w:rsidR="00000000" w:rsidRPr="00000000">
        <w:rPr>
          <w:rtl w:val="0"/>
        </w:rPr>
        <w:t xml:space="preserve"> Plano medio o vista cenital de bosque denso (pino o dosel vegetal) con follaje verde profundo.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ajuste (Overlay):</w:t>
      </w:r>
      <w:r w:rsidDel="00000000" w:rsidR="00000000" w:rsidRPr="00000000">
        <w:rPr>
          <w:rtl w:val="0"/>
        </w:rPr>
        <w:t xml:space="preserve"> Color Deep Forest Green (#064E3B) o Earth Graphite (#18181B) al 70% u 80% de opacidad.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Desenfoque:</w:t>
      </w:r>
      <w:r w:rsidDel="00000000" w:rsidR="00000000" w:rsidRPr="00000000">
        <w:rPr>
          <w:rtl w:val="0"/>
        </w:rPr>
        <w:t xml:space="preserve"> Gaussian Blur suave de 8px a 12px para eliminar micro-ruido y concentrar la mirada en el isotipo.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2.2. El Isotipo en Primer Plano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Trazo:</w:t>
      </w:r>
      <w:r w:rsidDel="00000000" w:rsidR="00000000" w:rsidRPr="00000000">
        <w:rPr>
          <w:rtl w:val="0"/>
        </w:rPr>
        <w:t xml:space="preserve"> Vectorial de 2.5px en Pure White (#FFFFFF) y Bio Neon Green (#10B981).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Geometría:</w:t>
      </w:r>
      <w:r w:rsidDel="00000000" w:rsidR="00000000" w:rsidRPr="00000000">
        <w:rPr>
          <w:rtl w:val="0"/>
        </w:rPr>
        <w:t xml:space="preserve"> Plántula minimalista de dos hojas simétricas basadas en la distribución gaussiana (Campana de Shewhart), conectada a un nodo circular activo.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Drop Shadow técnico sutil (Offset Y: 2px, Blur: 4px, Opacidad: 25%) para separación visual.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2.3. Tipografía del Logotipo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"AGRO STAT":</w:t>
      </w:r>
      <w:r w:rsidDel="00000000" w:rsidR="00000000" w:rsidRPr="00000000">
        <w:rPr>
          <w:rtl w:val="0"/>
        </w:rPr>
        <w:t xml:space="preserve"> Space Grotesk Bold, mayúsculas, color Pure White.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"&amp; TECH CO.":</w:t>
      </w:r>
      <w:r w:rsidDel="00000000" w:rsidR="00000000" w:rsidRPr="00000000">
        <w:rPr>
          <w:rtl w:val="0"/>
        </w:rPr>
        <w:t xml:space="preserve"> Space Grotesk Regular, tracking +120, escala al 45% de altura en Bio Neon Green.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2.4. Matriz de Contraste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Ratio:</w:t>
      </w:r>
      <w:r w:rsidDel="00000000" w:rsidR="00000000" w:rsidRPr="00000000">
        <w:rPr>
          <w:rtl w:val="0"/>
        </w:rPr>
        <w:t xml:space="preserve"> 11.5:1 respecto al overlay, garantizando legibilidad total.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tdchyj6n35ky" w:id="7"/>
      <w:bookmarkEnd w:id="7"/>
      <w:r w:rsidDel="00000000" w:rsidR="00000000" w:rsidRPr="00000000">
        <w:rPr>
          <w:rtl w:val="0"/>
        </w:rPr>
        <w:t xml:space="preserve">3. FORMATOS Y DIMENSIONES PARA REDES SOCIALES</w:t>
      </w:r>
    </w:p>
    <w:tbl>
      <w:tblPr>
        <w:tblStyle w:val="Table2"/>
        <w:tblW w:w="1750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e5e7eb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Plataforma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Dimensiones (px)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Formato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sdt>
              <w:sdtPr>
                <w:alias w:val="Elemento"/>
                <w:id w:val="1879159933"/>
                <w:dropDownList w:lastValue="Avatar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Avatar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400 x 400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alias w:val="Formato"/>
                <w:id w:val="-822686946"/>
                <w:dropDownList w:lastValue="PNG / WebP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PNG / WebP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Logo centrado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sdt>
              <w:sdtPr>
                <w:alias w:val="Elemento"/>
                <w:id w:val="-529893557"/>
                <w:dropDownList w:lastValue="Banner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Banner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1584 x 396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alias w:val="Formato"/>
                <w:id w:val="-1034984675"/>
                <w:dropDownList w:lastValue="PNG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Fondo de bosque texturizado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alias w:val="Elemento"/>
                <w:id w:val="429578931"/>
                <w:dropDownList w:lastValue="Posts / Carrusel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Posts / Carrusel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1080 x 1350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sdt>
              <w:sdtPr>
                <w:alias w:val="Formato"/>
                <w:id w:val="-51094233"/>
                <w:dropDownList w:lastValue="PDF / PNG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PDF / 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Formato vertical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sdt>
              <w:sdtPr>
                <w:alias w:val="Elemento"/>
                <w:id w:val="-1342484957"/>
                <w:dropDownList w:lastValue="Avatar Monograma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Avatar Monograma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320 x 320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sdt>
              <w:sdtPr>
                <w:alias w:val="Formato"/>
                <w:id w:val="-923866717"/>
                <w:dropDownList w:lastValue="PNG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Solo Isotipo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alias w:val="Elemento"/>
                <w:id w:val="672430145"/>
                <w:dropDownList w:lastValue="Feed Vertical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Feed Vertical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1080 x 1350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sdt>
              <w:sdtPr>
                <w:alias w:val="Formato"/>
                <w:id w:val="756947105"/>
                <w:dropDownList w:lastValue="PNG / WebP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PNG / WebP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Preferido por espacio en pantalla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alias w:val="Elemento"/>
                <w:id w:val="-1922199233"/>
                <w:dropDownList w:lastValue="Reels / Stories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Reels / Stories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1080 x 1920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sdt>
              <w:sdtPr>
                <w:alias w:val="Formato"/>
                <w:id w:val="231455793"/>
                <w:dropDownList w:lastValue="MP4 / PNG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MP4 / 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Relación 9:16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 (Twitter)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Elemento"/>
                <w:id w:val="1335704699"/>
                <w:dropDownList w:lastValue="Banner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Banner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1500 x 500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sdt>
              <w:sdtPr>
                <w:alias w:val="Formato"/>
                <w:id w:val="-729826293"/>
                <w:dropDownList w:lastValue="PNG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Panorámico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alias w:val="Elemento"/>
                <w:id w:val="-1002751938"/>
                <w:dropDownList w:lastValue="Post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1600 x 900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sdt>
              <w:sdtPr>
                <w:alias w:val="Formato"/>
                <w:id w:val="1602992085"/>
                <w:dropDownList w:lastValue="PNG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Relación 16:9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alias w:val="Elemento"/>
                <w:id w:val="-1483745124"/>
                <w:dropDownList w:lastValue="Banner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Banner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2560 x 1440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sdt>
              <w:sdtPr>
                <w:alias w:val="Formato"/>
                <w:id w:val="-1027124162"/>
                <w:dropDownList w:lastValue="PNG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Zona segura central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sdt>
              <w:sdtPr>
                <w:alias w:val="Elemento"/>
                <w:id w:val="-829992239"/>
                <w:dropDownList w:lastValue="Miniaturas (CTR)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Miniaturas (CTR)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1280 x 720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alias w:val="Formato"/>
                <w:id w:val="437160919"/>
                <w:dropDownList w:lastValue="PNG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Borde Bio Neon de 4px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85zvh4bli79k" w:id="8"/>
      <w:bookmarkEnd w:id="8"/>
      <w:r w:rsidDel="00000000" w:rsidR="00000000" w:rsidRPr="00000000">
        <w:rPr>
          <w:rtl w:val="0"/>
        </w:rPr>
        <w:t xml:space="preserve">4. GUÍA DE COMPOSICIÓN Y ARQUITECTURA DE POSTS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4.1. La Regla del Doble Plano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35% de la superficie:</w:t>
      </w:r>
      <w:r w:rsidDel="00000000" w:rsidR="00000000" w:rsidRPr="00000000">
        <w:rPr>
          <w:rtl w:val="0"/>
        </w:rPr>
        <w:t xml:space="preserve"> Fondo de bosque u origen de campo con opacidad y textura.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65% de la superficie:</w:t>
      </w:r>
      <w:r w:rsidDel="00000000" w:rsidR="00000000" w:rsidRPr="00000000">
        <w:rPr>
          <w:rtl w:val="0"/>
        </w:rPr>
        <w:t xml:space="preserve"> Área técnica en Graphite Dark (#18181B) o Deep Slate (#064E3B) para datos y cartas de control.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4.2. Gráfica Técnica de Soporte</w:t>
      </w:r>
      <w:r w:rsidDel="00000000" w:rsidR="00000000" w:rsidRPr="00000000">
        <w:rPr>
          <w:rtl w:val="0"/>
        </w:rPr>
        <w:br w:type="textWrapping"/>
        <w:t xml:space="preserve">Inclusión de coordenadas geográficas sutiles en tipografía JetBrains Mono para reforzar la identidad de campo real: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4°20'44"N 74°21'43"W | ELEV: 1,720m | RH: 74%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4012yu3effm8" w:id="9"/>
      <w:bookmarkEnd w:id="9"/>
      <w:r w:rsidDel="00000000" w:rsidR="00000000" w:rsidRPr="00000000">
        <w:rPr>
          <w:rtl w:val="0"/>
        </w:rPr>
        <w:t xml:space="preserve">5. SISTEMA TIPOGRÁFICO PARA REDES SOCIALES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Titular Gancho:</w:t>
      </w:r>
      <w:r w:rsidDel="00000000" w:rsidR="00000000" w:rsidRPr="00000000">
        <w:rPr>
          <w:rtl w:val="0"/>
        </w:rPr>
        <w:t xml:space="preserve"> Space Grotesk Bold (Tamaño grande, contraste alto).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Explicativo:</w:t>
      </w:r>
      <w:r w:rsidDel="00000000" w:rsidR="00000000" w:rsidRPr="00000000">
        <w:rPr>
          <w:rtl w:val="0"/>
        </w:rPr>
        <w:t xml:space="preserve"> Inter Regular/Medium (Máximo 3 líneas por diapositiva).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y Métricas:</w:t>
      </w:r>
      <w:r w:rsidDel="00000000" w:rsidR="00000000" w:rsidRPr="00000000">
        <w:rPr>
          <w:rtl w:val="0"/>
        </w:rPr>
        <w:t xml:space="preserve"> JetBrains Mono en Bio Neon Green o Harvest Amber.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4mwca3ci0u42" w:id="10"/>
      <w:bookmarkEnd w:id="10"/>
      <w:r w:rsidDel="00000000" w:rsidR="00000000" w:rsidRPr="00000000">
        <w:rPr>
          <w:rtl w:val="0"/>
        </w:rPr>
        <w:t xml:space="preserve">6. ESTRATEGIA DE GANCHOS (HOOKS) DE ALTO IMPACTO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6.1. Psicología del Sector</w:t>
      </w:r>
      <w:r w:rsidDel="00000000" w:rsidR="00000000" w:rsidRPr="00000000">
        <w:rPr>
          <w:rtl w:val="0"/>
        </w:rPr>
        <w:br w:type="textWrapping"/>
        <w:t xml:space="preserve">El productor valora el dinero, el tiempo y la certidumbre. Desconfía de la teoría sin evidencia.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6.2. Catálogo de Ganchos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Pérdida Financiera:</w:t>
      </w:r>
      <w:r w:rsidDel="00000000" w:rsidR="00000000" w:rsidRPr="00000000">
        <w:rPr>
          <w:rtl w:val="0"/>
        </w:rPr>
        <w:t xml:space="preserve"> "Estás perdiendo $350 USD por hectárea en fertilizante nitrogenado que tu cultivo no puede absorber. Aquí está la curva que lo demuestra."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Paradoja Bioestadística:</w:t>
      </w:r>
      <w:r w:rsidDel="00000000" w:rsidR="00000000" w:rsidRPr="00000000">
        <w:rPr>
          <w:rtl w:val="0"/>
        </w:rPr>
        <w:t xml:space="preserve"> "Tu lote se ve perfectamente verde en el satélite, pero está a 72 horas de un colapso hídrico. Te explicamos por qué el NDVI miente sin sensores de humedad."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Poscosecha:</w:t>
      </w:r>
      <w:r w:rsidDel="00000000" w:rsidR="00000000" w:rsidRPr="00000000">
        <w:rPr>
          <w:rtl w:val="0"/>
        </w:rPr>
        <w:t xml:space="preserve"> "Cómo un índice Cpk de 1.45 estabilizó la línea de empaque en 3 semanas y evitó la caída de precio por calibre."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Comparación Brutal:</w:t>
      </w:r>
      <w:r w:rsidDel="00000000" w:rsidR="00000000" w:rsidRPr="00000000">
        <w:rPr>
          <w:rtl w:val="0"/>
        </w:rPr>
        <w:t xml:space="preserve"> "Cultivar por intuición vs. Cultivar bajo Control Estadístico de Procesos (SPC): La diferencia es un 24% más de margen neto."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9mg1fywc8eil" w:id="11"/>
      <w:bookmarkEnd w:id="11"/>
      <w:r w:rsidDel="00000000" w:rsidR="00000000" w:rsidRPr="00000000">
        <w:rPr>
          <w:rtl w:val="0"/>
        </w:rPr>
        <w:t xml:space="preserve">7. MECÁNICAS DE INTERACTIVIDAD Y PARTICIPACIÓN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Carruseles "Swipe &amp; Learn":</w:t>
      </w:r>
      <w:r w:rsidDel="00000000" w:rsidR="00000000" w:rsidRPr="00000000">
        <w:rPr>
          <w:rtl w:val="0"/>
        </w:rPr>
        <w:t xml:space="preserve"> Desliza para calcular mermas por variabilidad de riego.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Encuestas de Diagnóstico:</w:t>
      </w:r>
      <w:r w:rsidDel="00000000" w:rsidR="00000000" w:rsidRPr="00000000">
        <w:rPr>
          <w:rtl w:val="0"/>
        </w:rPr>
        <w:t xml:space="preserve"> Preguntas técnicas en Stories con feedback inmediato.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de Lote Abierta:</w:t>
      </w:r>
      <w:r w:rsidDel="00000000" w:rsidR="00000000" w:rsidRPr="00000000">
        <w:rPr>
          <w:rtl w:val="0"/>
        </w:rPr>
        <w:t xml:space="preserve"> Dinámica donde seguidores comparten problemas de cultivo para resolución mediante infografías técnicas en vivo.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to Action (CTA):</w:t>
      </w:r>
      <w:r w:rsidDel="00000000" w:rsidR="00000000" w:rsidRPr="00000000">
        <w:rPr>
          <w:rtl w:val="0"/>
        </w:rPr>
        <w:t xml:space="preserve"> Orientados a la acción: "Descarga la plantilla SPC", "Agenda tu diagnóstico en la App".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pxb4zyiars62" w:id="12"/>
      <w:bookmarkEnd w:id="12"/>
      <w:r w:rsidDel="00000000" w:rsidR="00000000" w:rsidRPr="00000000">
        <w:rPr>
          <w:rtl w:val="0"/>
        </w:rPr>
        <w:t xml:space="preserve">8. CATÁLOGO DE PLANTILLAS DE PUBLICACIÓN (TEMPLATES)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Plantilla A: Píldora Bioestadística</w:t>
      </w:r>
      <w:r w:rsidDel="00000000" w:rsidR="00000000" w:rsidRPr="00000000">
        <w:rPr>
          <w:rtl w:val="0"/>
        </w:rPr>
        <w:br w:type="textWrapping"/>
        <w:t xml:space="preserve">Concepto técnico -&gt; Gráfica con límites UCL/LCL -&gt; Aplicación práctica inmediata en el campo.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Plantilla B: Caso de Éxito con ROI</w:t>
      </w:r>
      <w:r w:rsidDel="00000000" w:rsidR="00000000" w:rsidRPr="00000000">
        <w:rPr>
          <w:rtl w:val="0"/>
        </w:rPr>
        <w:br w:type="textWrapping"/>
        <w:t xml:space="preserve">Fotografía de finca con opacidad -&gt; Métrica inicial -&gt; Intervención del Squad -&gt; Resultado económico verificable por hectárea.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Plantilla C: Infografía de Arquitectura</w:t>
      </w:r>
      <w:r w:rsidDel="00000000" w:rsidR="00000000" w:rsidRPr="00000000">
        <w:rPr>
          <w:rtl w:val="0"/>
        </w:rPr>
        <w:br w:type="textWrapping"/>
        <w:t xml:space="preserve">Diagrama de flujo: Sensores en suelo -&gt; Gateway Edge -&gt; Lakehouse -&gt; Toma de decisión estratégica.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1dffrlosdm2b" w:id="13"/>
      <w:bookmarkEnd w:id="13"/>
      <w:r w:rsidDel="00000000" w:rsidR="00000000" w:rsidRPr="00000000">
        <w:rPr>
          <w:rtl w:val="0"/>
        </w:rPr>
        <w:t xml:space="preserve">9. CHECKLIST DE CONTROL DE CALIDAD ANTES DE PUBLICAR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Verificación de contraste WCAG (mínimo 7:1, ideal 11.5:1).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Presencia obligatoria del isotipo sobre fondo contrastado.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Legibilidad tipográfica probada en pantallas de 5 pulgadas.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Ausencia de tecnicismos incomprensibles sin su respectiva aplicación práctica.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To Action (CTA) activo y claro.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Ajuste de opacidad del fondo (70-80%).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Uso correcto de la paleta de colores (Bio Neon Green para énfasis).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Coherencia entre el gancho visual y el contexto técnico del copy.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ace Grotesk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8181b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Space Grotesk" w:cs="Space Grotesk" w:eastAsia="Space Grotesk" w:hAnsi="Space Grotesk"/>
      <w:b w:val="1"/>
      <w:bCs w:val="1"/>
      <w:i w:val="0"/>
      <w:iCs w:val="0"/>
      <w:color w:val="18181b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Space Grotesk" w:cs="Space Grotesk" w:eastAsia="Space Grotesk" w:hAnsi="Space Grotesk"/>
      <w:b w:val="1"/>
      <w:bCs w:val="1"/>
      <w:i w:val="0"/>
      <w:iCs w:val="0"/>
      <w:color w:val="064e3b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Space Grotesk" w:cs="Space Grotesk" w:eastAsia="Space Grotesk" w:hAnsi="Space Grotesk"/>
      <w:b w:val="1"/>
      <w:bCs w:val="1"/>
      <w:i w:val="0"/>
      <w:iCs w:val="0"/>
      <w:color w:val="18181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Space Grotesk" w:cs="Space Grotesk" w:eastAsia="Space Grotesk" w:hAnsi="Space Grotesk"/>
      <w:b w:val="1"/>
      <w:bCs w:val="1"/>
      <w:i w:val="0"/>
      <w:iCs w:val="0"/>
      <w:color w:val="064e3b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Space Grotesk" w:cs="Space Grotesk" w:eastAsia="Space Grotesk" w:hAnsi="Space Grotesk"/>
      <w:b w:val="1"/>
      <w:bCs w:val="1"/>
      <w:i w:val="0"/>
      <w:iCs w:val="0"/>
      <w:color w:val="10b981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74151"/>
        <w:sz w:val="22"/>
        <w:szCs w:val="22"/>
      </w:rPr>
      <w:tcPr>
        <w:shd w:fill="f9fafb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74151"/>
        <w:sz w:val="22"/>
        <w:szCs w:val="22"/>
      </w:rPr>
      <w:tcPr>
        <w:shd w:fill="f9fafb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SpaceGrotesk-bold.ttf"/><Relationship Id="rId9" Type="http://schemas.openxmlformats.org/officeDocument/2006/relationships/font" Target="fonts/SpaceGrotesk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