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n4hj9rsx3xb8" w:id="0"/>
      <w:bookmarkEnd w:id="0"/>
      <w:r w:rsidDel="00000000" w:rsidR="00000000" w:rsidRPr="00000000">
        <w:rPr>
          <w:rtl w:val="0"/>
        </w:rPr>
        <w:t xml:space="preserve">STATSFIRM CO.</w:t>
      </w:r>
    </w:p>
    <w:p w:rsidR="00000000" w:rsidDel="00000000" w:rsidP="00000000" w:rsidRDefault="00000000" w:rsidRPr="00000000" w14:paraId="00000002">
      <w:pPr>
        <w:pStyle w:val="Heading1"/>
        <w:rPr/>
      </w:pPr>
      <w:bookmarkStart w:colFirst="0" w:colLast="0" w:name="_g9mm74o481iv" w:id="1"/>
      <w:bookmarkEnd w:id="1"/>
      <w:r w:rsidDel="00000000" w:rsidR="00000000" w:rsidRPr="00000000">
        <w:rPr>
          <w:rtl w:val="0"/>
        </w:rPr>
        <w:t xml:space="preserve">DOCUMENTO 02: MANUAL DE MARCA Y SISTEMA DE DISEÑO CORPORATIVO</w:t>
      </w:r>
    </w:p>
    <w:p w:rsidR="00000000" w:rsidDel="00000000" w:rsidP="00000000" w:rsidRDefault="00000000" w:rsidRPr="00000000" w14:paraId="00000003">
      <w:pPr>
        <w:pStyle w:val="Heading2"/>
        <w:rPr/>
      </w:pPr>
      <w:bookmarkStart w:colFirst="0" w:colLast="0" w:name="_uo30lepny95b" w:id="2"/>
      <w:bookmarkEnd w:id="2"/>
      <w:r w:rsidDel="00000000" w:rsidR="00000000" w:rsidRPr="00000000">
        <w:rPr>
          <w:rtl w:val="0"/>
        </w:rPr>
        <w:t xml:space="preserve">Código: SFC-CORP-BM-002 | Versión: 1.0 | Clasificación: Confidencial / Corporativo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sspivuwq7uo4" w:id="3"/>
      <w:bookmarkEnd w:id="3"/>
      <w:r w:rsidDel="00000000" w:rsidR="00000000" w:rsidRPr="00000000">
        <w:rPr>
          <w:rtl w:val="0"/>
        </w:rPr>
        <w:t xml:space="preserve">CONTROL DOCUMENTAL Y GESTIÓN DE VERSIONES</w:t>
      </w:r>
    </w:p>
    <w:tbl>
      <w:tblPr>
        <w:tblStyle w:val="Table1"/>
        <w:tblW w:w="21000.0" w:type="dxa"/>
        <w:jc w:val="left"/>
        <w:tblBorders>
          <w:top w:color="cbd5e1" w:space="0" w:sz="4" w:val="single"/>
          <w:left w:color="000000" w:space="0" w:sz="0" w:val="nil"/>
          <w:bottom w:color="cbd5e1" w:space="0" w:sz="4" w:val="single"/>
          <w:right w:color="000000" w:space="0" w:sz="0" w:val="nil"/>
          <w:insideH w:color="e2e8f0" w:space="0" w:sz="4" w:val="single"/>
          <w:insideV w:color="e2e8f0"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Brand Strategy &amp; Design Systems Group</w:t>
            </w:r>
          </w:p>
        </w:tc>
        <w:tc>
          <w:tcPr/>
          <w:p w:rsidR="00000000" w:rsidDel="00000000" w:rsidP="00000000" w:rsidRDefault="00000000" w:rsidRPr="00000000" w14:paraId="0000000F">
            <w:pPr>
              <w:rPr/>
            </w:pPr>
            <w:r w:rsidDel="00000000" w:rsidR="00000000" w:rsidRPr="00000000">
              <w:rPr>
                <w:rtl w:val="0"/>
              </w:rPr>
              <w:t xml:space="preserve">Chief Transformation Officer &amp; Head of Architecture</w:t>
            </w:r>
          </w:p>
        </w:tc>
        <w:tc>
          <w:tcPr/>
          <w:p w:rsidR="00000000" w:rsidDel="00000000" w:rsidP="00000000" w:rsidRDefault="00000000" w:rsidRPr="00000000" w14:paraId="00000010">
            <w:pPr>
              <w:rPr/>
            </w:pPr>
            <w:r w:rsidDel="00000000" w:rsidR="00000000" w:rsidRPr="00000000">
              <w:rPr>
                <w:rtl w:val="0"/>
              </w:rPr>
              <w:t xml:space="preserve">Dirección Ejecutiva / Board of Directors</w:t>
            </w:r>
          </w:p>
        </w:tc>
        <w:tc>
          <w:tcPr/>
          <w:p w:rsidR="00000000" w:rsidDel="00000000" w:rsidP="00000000" w:rsidRDefault="00000000" w:rsidRPr="00000000" w14:paraId="00000011">
            <w:pPr>
              <w:rPr/>
            </w:pPr>
            <w:r w:rsidDel="00000000" w:rsidR="00000000" w:rsidRPr="00000000">
              <w:rPr>
                <w:rtl w:val="0"/>
              </w:rPr>
              <w:t xml:space="preserve">Especificación normativa integral del sistema de identidad visual y diseño UI/UX (Fase 1).</w:t>
            </w:r>
          </w:p>
        </w:tc>
      </w:tr>
    </w:tbl>
    <w:p w:rsidR="00000000" w:rsidDel="00000000" w:rsidP="00000000" w:rsidRDefault="00000000" w:rsidRPr="00000000" w14:paraId="00000012">
      <w:pPr>
        <w:pStyle w:val="Heading2"/>
        <w:rPr/>
      </w:pPr>
      <w:bookmarkStart w:colFirst="0" w:colLast="0" w:name="_i1h3bo11cpyk" w:id="4"/>
      <w:bookmarkEnd w:id="4"/>
      <w:r w:rsidDel="00000000" w:rsidR="00000000" w:rsidRPr="00000000">
        <w:rPr>
          <w:rtl w:val="0"/>
        </w:rPr>
        <w:t xml:space="preserve">ÍNDICE GENERAL DEL DOCUMENTO 02</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Introducción y Alcance del Manual de Marca</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Filosofía Visual y Personalidad de Marca</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Anatomía, Geometría y Construcción del Logotipo</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Sistema Cromático Institucional</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Sistema Tipográfico Corporativo</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Lenguaje Iconográfico y Gráfica de Soporte</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Directrices de Uso Indebido y Prohibiciones (Brand Don'ts)</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Sistema de Diseño Digital (UI/UX)</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Plantillas Corporativas y Papelería de Ingeniería</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Conclusión y Transición al Documento 03</w:t>
      </w:r>
    </w:p>
    <w:p w:rsidR="00000000" w:rsidDel="00000000" w:rsidP="00000000" w:rsidRDefault="00000000" w:rsidRPr="00000000" w14:paraId="0000001D">
      <w:pPr>
        <w:pStyle w:val="Heading2"/>
        <w:rPr/>
      </w:pPr>
      <w:bookmarkStart w:colFirst="0" w:colLast="0" w:name="_asvtpptih9hy" w:id="5"/>
      <w:bookmarkEnd w:id="5"/>
      <w:r w:rsidDel="00000000" w:rsidR="00000000" w:rsidRPr="00000000">
        <w:rPr>
          <w:rtl w:val="0"/>
        </w:rPr>
        <w:t xml:space="preserve">1. INTRODUCCIÓN Y ALCANCE DEL MANUAL DE MARCA</w:t>
      </w:r>
    </w:p>
    <w:p w:rsidR="00000000" w:rsidDel="00000000" w:rsidP="00000000" w:rsidRDefault="00000000" w:rsidRPr="00000000" w14:paraId="0000001E">
      <w:pPr>
        <w:rPr/>
      </w:pPr>
      <w:r w:rsidDel="00000000" w:rsidR="00000000" w:rsidRPr="00000000">
        <w:rPr>
          <w:rtl w:val="0"/>
        </w:rPr>
        <w:t xml:space="preserve">El presente Manual de Marca y Sistema de Diseño Corporativo constituye la norma técnica inmutable que rige todas las manifestaciones visuales de </w:t>
      </w:r>
      <w:r w:rsidDel="00000000" w:rsidR="00000000" w:rsidRPr="00000000">
        <w:rPr>
          <w:b w:val="1"/>
          <w:bCs w:val="1"/>
          <w:rtl w:val="0"/>
        </w:rPr>
        <w:t xml:space="preserve">Statsfirm Co.</w:t>
      </w:r>
      <w:r w:rsidDel="00000000" w:rsidR="00000000" w:rsidRPr="00000000">
        <w:rPr>
          <w:rtl w:val="0"/>
        </w:rPr>
        <w:t xml:space="preserve"> Su aplicación es obligatoria para todas las unidades de negocio, departamentos técnicos y proveedores externos. El objetivo central es garantizar una coherencia rigurosa en el ecosistema global de la compañía, proyectando autoridad técnica, solidez científica y un minimalismo futurista en cada punto de contacto con el cliente, el inversor y el colaborador.</w:t>
      </w:r>
    </w:p>
    <w:p w:rsidR="00000000" w:rsidDel="00000000" w:rsidP="00000000" w:rsidRDefault="00000000" w:rsidRPr="00000000" w14:paraId="0000001F">
      <w:pPr>
        <w:pStyle w:val="Heading2"/>
        <w:rPr/>
      </w:pPr>
      <w:bookmarkStart w:colFirst="0" w:colLast="0" w:name="_czvphpghw38" w:id="6"/>
      <w:bookmarkEnd w:id="6"/>
      <w:r w:rsidDel="00000000" w:rsidR="00000000" w:rsidRPr="00000000">
        <w:rPr>
          <w:rtl w:val="0"/>
        </w:rPr>
        <w:t xml:space="preserve">2. FILOSOFÍA VISUAL Y PERSONALIDAD DE MARCA</w:t>
      </w:r>
    </w:p>
    <w:p w:rsidR="00000000" w:rsidDel="00000000" w:rsidP="00000000" w:rsidRDefault="00000000" w:rsidRPr="00000000" w14:paraId="00000020">
      <w:pPr>
        <w:rPr/>
      </w:pPr>
      <w:r w:rsidDel="00000000" w:rsidR="00000000" w:rsidRPr="00000000">
        <w:rPr>
          <w:rtl w:val="0"/>
        </w:rPr>
        <w:t xml:space="preserve">La identidad visual de Statsfirm Co. se fundamenta en cuatro pilares estratégicos: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6"/>
        </w:numPr>
        <w:ind w:left="720" w:hanging="360"/>
      </w:pPr>
      <w:r w:rsidDel="00000000" w:rsidR="00000000" w:rsidRPr="00000000">
        <w:rPr>
          <w:b w:val="1"/>
          <w:bCs w:val="1"/>
          <w:rtl w:val="0"/>
        </w:rPr>
        <w:t xml:space="preserve">Rigor Matemático:</w:t>
      </w:r>
      <w:r w:rsidDel="00000000" w:rsidR="00000000" w:rsidRPr="00000000">
        <w:rPr>
          <w:rtl w:val="0"/>
        </w:rPr>
        <w:t xml:space="preserve"> Cada elemento visual responde a una lógica de construcción precisa.</w:t>
      </w:r>
    </w:p>
    <w:p w:rsidR="00000000" w:rsidDel="00000000" w:rsidP="00000000" w:rsidRDefault="00000000" w:rsidRPr="00000000" w14:paraId="00000023">
      <w:pPr>
        <w:numPr>
          <w:ilvl w:val="0"/>
          <w:numId w:val="6"/>
        </w:numPr>
        <w:ind w:left="720" w:hanging="360"/>
      </w:pPr>
      <w:r w:rsidDel="00000000" w:rsidR="00000000" w:rsidRPr="00000000">
        <w:rPr>
          <w:b w:val="1"/>
          <w:bCs w:val="1"/>
          <w:rtl w:val="0"/>
        </w:rPr>
        <w:t xml:space="preserve">Precisión de Ingeniería:</w:t>
      </w:r>
      <w:r w:rsidDel="00000000" w:rsidR="00000000" w:rsidRPr="00000000">
        <w:rPr>
          <w:rtl w:val="0"/>
        </w:rPr>
        <w:t xml:space="preserve"> Estética limpia que elimina lo superfluo para centrarse en la función.</w:t>
      </w:r>
    </w:p>
    <w:p w:rsidR="00000000" w:rsidDel="00000000" w:rsidP="00000000" w:rsidRDefault="00000000" w:rsidRPr="00000000" w14:paraId="00000024">
      <w:pPr>
        <w:numPr>
          <w:ilvl w:val="0"/>
          <w:numId w:val="6"/>
        </w:numPr>
        <w:ind w:left="720" w:hanging="360"/>
      </w:pPr>
      <w:r w:rsidDel="00000000" w:rsidR="00000000" w:rsidRPr="00000000">
        <w:rPr>
          <w:b w:val="1"/>
          <w:bCs w:val="1"/>
          <w:rtl w:val="0"/>
        </w:rPr>
        <w:t xml:space="preserve">Sofisticación Minimalista:</w:t>
      </w:r>
      <w:r w:rsidDel="00000000" w:rsidR="00000000" w:rsidRPr="00000000">
        <w:rPr>
          <w:rtl w:val="0"/>
        </w:rPr>
        <w:t xml:space="preserve"> Uso del espacio negativo y paletas oscuras para evocar exclusividad.</w:t>
      </w:r>
    </w:p>
    <w:p w:rsidR="00000000" w:rsidDel="00000000" w:rsidP="00000000" w:rsidRDefault="00000000" w:rsidRPr="00000000" w14:paraId="00000025">
      <w:pPr>
        <w:numPr>
          <w:ilvl w:val="0"/>
          <w:numId w:val="6"/>
        </w:numPr>
        <w:ind w:left="720" w:hanging="360"/>
      </w:pPr>
      <w:r w:rsidDel="00000000" w:rsidR="00000000" w:rsidRPr="00000000">
        <w:rPr>
          <w:b w:val="1"/>
          <w:bCs w:val="1"/>
          <w:rtl w:val="0"/>
        </w:rPr>
        <w:t xml:space="preserve">Vanguardia Futurista:</w:t>
      </w:r>
      <w:r w:rsidDel="00000000" w:rsidR="00000000" w:rsidRPr="00000000">
        <w:rPr>
          <w:rtl w:val="0"/>
        </w:rPr>
        <w:t xml:space="preserve"> Integración de elementos que sugieren alta computación y análisis avanzado.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Statsfirm Co. se aleja de tendencias festivas o recargadas; su personalidad es sobria, precisa como un instrumento de laboratorio y poderosa como una supercomputadora industrial.</w:t>
      </w:r>
    </w:p>
    <w:p w:rsidR="00000000" w:rsidDel="00000000" w:rsidP="00000000" w:rsidRDefault="00000000" w:rsidRPr="00000000" w14:paraId="00000028">
      <w:pPr>
        <w:pStyle w:val="Heading2"/>
        <w:rPr/>
      </w:pPr>
      <w:bookmarkStart w:colFirst="0" w:colLast="0" w:name="_nufsmu34wdcb" w:id="7"/>
      <w:bookmarkEnd w:id="7"/>
      <w:r w:rsidDel="00000000" w:rsidR="00000000" w:rsidRPr="00000000">
        <w:rPr>
          <w:rtl w:val="0"/>
        </w:rPr>
        <w:t xml:space="preserve">3. ANATOMÍA, GEOMETRÍA Y CONSTRUCCIÓN DEL LOGOTIPO</w:t>
      </w:r>
    </w:p>
    <w:p w:rsidR="00000000" w:rsidDel="00000000" w:rsidP="00000000" w:rsidRDefault="00000000" w:rsidRPr="00000000" w14:paraId="00000029">
      <w:pPr>
        <w:pStyle w:val="Heading3"/>
        <w:rPr/>
      </w:pPr>
      <w:bookmarkStart w:colFirst="0" w:colLast="0" w:name="_impsec3hce14" w:id="8"/>
      <w:bookmarkEnd w:id="8"/>
      <w:r w:rsidDel="00000000" w:rsidR="00000000" w:rsidRPr="00000000">
        <w:rPr>
          <w:rtl w:val="0"/>
        </w:rPr>
        <w:t xml:space="preserve">3.1. Racional del Isotipo</w:t>
      </w:r>
    </w:p>
    <w:p w:rsidR="00000000" w:rsidDel="00000000" w:rsidP="00000000" w:rsidRDefault="00000000" w:rsidRPr="00000000" w14:paraId="0000002A">
      <w:pPr>
        <w:rPr/>
      </w:pPr>
      <w:r w:rsidDel="00000000" w:rsidR="00000000" w:rsidRPr="00000000">
        <w:rPr>
          <w:rtl w:val="0"/>
        </w:rPr>
        <w:t xml:space="preserve">La geometría del isotipo se basa en un plano de coordenadas ortogonales donde se proyectan los ejes X, Y y Z. El vértice central representa el "Punto de Inflexión del Dato", del cual emergen vectores conectados a nodos funcionales. La estructura culmina en un nodo de acento energizado en Verde Código (#00FF66), simbolizando la validación y el éxito de la ejecución algorítmica.</w:t>
      </w:r>
    </w:p>
    <w:p w:rsidR="00000000" w:rsidDel="00000000" w:rsidP="00000000" w:rsidRDefault="00000000" w:rsidRPr="00000000" w14:paraId="0000002B">
      <w:pPr>
        <w:pStyle w:val="Heading3"/>
        <w:rPr/>
      </w:pPr>
      <w:bookmarkStart w:colFirst="0" w:colLast="0" w:name="_myizwqy1jo37" w:id="9"/>
      <w:bookmarkEnd w:id="9"/>
      <w:r w:rsidDel="00000000" w:rsidR="00000000" w:rsidRPr="00000000">
        <w:rPr>
          <w:rtl w:val="0"/>
        </w:rPr>
        <w:t xml:space="preserve">3.2. Estructura Tipográfica del Logotipo</w:t>
      </w:r>
    </w:p>
    <w:p w:rsidR="00000000" w:rsidDel="00000000" w:rsidP="00000000" w:rsidRDefault="00000000" w:rsidRPr="00000000" w14:paraId="0000002C">
      <w:pPr>
        <w:rPr/>
      </w:pPr>
      <w:r w:rsidDel="00000000" w:rsidR="00000000" w:rsidRPr="00000000">
        <w:rPr>
          <w:rtl w:val="0"/>
        </w:rPr>
        <w:t xml:space="preserve">El componente nominal "STATSFIRM" se presenta en caja alta utilizando una variante geométrica customizada derivada de Space Grotesk e Inter, con esquinas limpias y cortes técnicos a 90 grados. El sufijo "CO." se sitúa a la derecha, configurado en peso regular y a una escala del 40% respecto a la altura de la tipografía principal.</w:t>
      </w:r>
    </w:p>
    <w:p w:rsidR="00000000" w:rsidDel="00000000" w:rsidP="00000000" w:rsidRDefault="00000000" w:rsidRPr="00000000" w14:paraId="0000002D">
      <w:pPr>
        <w:pStyle w:val="Heading3"/>
        <w:rPr/>
      </w:pPr>
      <w:bookmarkStart w:colFirst="0" w:colLast="0" w:name="_pba2x8le34bw" w:id="10"/>
      <w:bookmarkEnd w:id="10"/>
      <w:r w:rsidDel="00000000" w:rsidR="00000000" w:rsidRPr="00000000">
        <w:rPr>
          <w:rtl w:val="0"/>
        </w:rPr>
        <w:t xml:space="preserve">3.3. Configuraciones Permitidas</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Versión Principal Horizontal:</w:t>
      </w:r>
      <w:r w:rsidDel="00000000" w:rsidR="00000000" w:rsidRPr="00000000">
        <w:rPr>
          <w:rtl w:val="0"/>
        </w:rPr>
        <w:t xml:space="preserve"> Isotipo a la izquierda, logotipo a la derecha. Es la versión preferente para documentos oficiales y cabeceras.</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Versión Secundaria Centrada:</w:t>
      </w:r>
      <w:r w:rsidDel="00000000" w:rsidR="00000000" w:rsidRPr="00000000">
        <w:rPr>
          <w:rtl w:val="0"/>
        </w:rPr>
        <w:t xml:space="preserve"> Isotipo superior con logotipo inferior centrado.</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Versión Monograma:</w:t>
      </w:r>
      <w:r w:rsidDel="00000000" w:rsidR="00000000" w:rsidRPr="00000000">
        <w:rPr>
          <w:rtl w:val="0"/>
        </w:rPr>
        <w:t xml:space="preserve"> Isotipo aislado, exclusivo para favicons, iconos de aplicaciones móviles y avatares de repositorios técnicos.</w:t>
      </w:r>
    </w:p>
    <w:p w:rsidR="00000000" w:rsidDel="00000000" w:rsidP="00000000" w:rsidRDefault="00000000" w:rsidRPr="00000000" w14:paraId="00000031">
      <w:pPr>
        <w:pStyle w:val="Heading3"/>
        <w:rPr/>
      </w:pPr>
      <w:bookmarkStart w:colFirst="0" w:colLast="0" w:name="_b2b8meqazkq5" w:id="11"/>
      <w:bookmarkEnd w:id="11"/>
      <w:r w:rsidDel="00000000" w:rsidR="00000000" w:rsidRPr="00000000">
        <w:rPr>
          <w:rtl w:val="0"/>
        </w:rPr>
        <w:t xml:space="preserve">3.4. Retícula Modular y Proporciones Matemáticas</w:t>
      </w:r>
    </w:p>
    <w:p w:rsidR="00000000" w:rsidDel="00000000" w:rsidP="00000000" w:rsidRDefault="00000000" w:rsidRPr="00000000" w14:paraId="00000032">
      <w:pPr>
        <w:rPr/>
      </w:pPr>
      <w:r w:rsidDel="00000000" w:rsidR="00000000" w:rsidRPr="00000000">
        <w:rPr>
          <w:rtl w:val="0"/>
        </w:rPr>
        <w:t xml:space="preserve">La construcción se rige por una cuadrícula modular basada en la unidad 'X', donde 'X' equivale exactamente a la altura de la letra 'S' de la palabra STATSFIRM.</w:t>
      </w:r>
    </w:p>
    <w:p w:rsidR="00000000" w:rsidDel="00000000" w:rsidP="00000000" w:rsidRDefault="00000000" w:rsidRPr="00000000" w14:paraId="00000033">
      <w:pPr>
        <w:pStyle w:val="Heading3"/>
        <w:rPr/>
      </w:pPr>
      <w:bookmarkStart w:colFirst="0" w:colLast="0" w:name="_6zba2x90za6n" w:id="12"/>
      <w:bookmarkEnd w:id="12"/>
      <w:r w:rsidDel="00000000" w:rsidR="00000000" w:rsidRPr="00000000">
        <w:rPr>
          <w:rtl w:val="0"/>
        </w:rPr>
        <w:t xml:space="preserve">3.5. Zona de Seguridad y Área de Reserva</w:t>
      </w:r>
    </w:p>
    <w:p w:rsidR="00000000" w:rsidDel="00000000" w:rsidP="00000000" w:rsidRDefault="00000000" w:rsidRPr="00000000" w14:paraId="00000034">
      <w:pPr>
        <w:rPr/>
      </w:pPr>
      <w:r w:rsidDel="00000000" w:rsidR="00000000" w:rsidRPr="00000000">
        <w:rPr>
          <w:rtl w:val="0"/>
        </w:rPr>
        <w:t xml:space="preserve">Para preservar la integridad visual, se establece un espacio libre mínimo obligatorio de 1.5X alrededor de todo el perímetro del identificador, donde no podrá figurar ningún elemento ajeno a la marca.</w:t>
      </w:r>
    </w:p>
    <w:p w:rsidR="00000000" w:rsidDel="00000000" w:rsidP="00000000" w:rsidRDefault="00000000" w:rsidRPr="00000000" w14:paraId="00000035">
      <w:pPr>
        <w:pStyle w:val="Heading3"/>
        <w:rPr/>
      </w:pPr>
      <w:bookmarkStart w:colFirst="0" w:colLast="0" w:name="_hwt4ehkeom9e" w:id="13"/>
      <w:bookmarkEnd w:id="13"/>
      <w:r w:rsidDel="00000000" w:rsidR="00000000" w:rsidRPr="00000000">
        <w:rPr>
          <w:rtl w:val="0"/>
        </w:rPr>
        <w:t xml:space="preserve">3.6. Tamaños Mínimos de Reproducción</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Entornos Digitales:</w:t>
      </w:r>
      <w:r w:rsidDel="00000000" w:rsidR="00000000" w:rsidRPr="00000000">
        <w:rPr>
          <w:rtl w:val="0"/>
        </w:rPr>
        <w:t xml:space="preserve"> 120px de ancho (Versión Horizontal) | 24px de ancho (Isotipo).</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Medios Impresos:</w:t>
      </w:r>
      <w:r w:rsidDel="00000000" w:rsidR="00000000" w:rsidRPr="00000000">
        <w:rPr>
          <w:rtl w:val="0"/>
        </w:rPr>
        <w:t xml:space="preserve"> 25mm de ancho (Versión Horizontal) | 6mm de ancho (Isotipo).</w:t>
      </w:r>
    </w:p>
    <w:p w:rsidR="00000000" w:rsidDel="00000000" w:rsidP="00000000" w:rsidRDefault="00000000" w:rsidRPr="00000000" w14:paraId="00000038">
      <w:pPr>
        <w:pStyle w:val="Heading2"/>
        <w:rPr/>
      </w:pPr>
      <w:bookmarkStart w:colFirst="0" w:colLast="0" w:name="_sjxoe7nvmfmq" w:id="14"/>
      <w:bookmarkEnd w:id="14"/>
      <w:r w:rsidDel="00000000" w:rsidR="00000000" w:rsidRPr="00000000">
        <w:rPr>
          <w:rtl w:val="0"/>
        </w:rPr>
        <w:t xml:space="preserve">4. SISTEMA CROMÁTICO INSTITUCIONAL</w:t>
      </w:r>
    </w:p>
    <w:p w:rsidR="00000000" w:rsidDel="00000000" w:rsidP="00000000" w:rsidRDefault="00000000" w:rsidRPr="00000000" w14:paraId="00000039">
      <w:pPr>
        <w:pStyle w:val="Heading3"/>
        <w:rPr/>
      </w:pPr>
      <w:bookmarkStart w:colFirst="0" w:colLast="0" w:name="_4r9t2bllcjio" w:id="15"/>
      <w:bookmarkEnd w:id="15"/>
      <w:r w:rsidDel="00000000" w:rsidR="00000000" w:rsidRPr="00000000">
        <w:rPr>
          <w:rtl w:val="0"/>
        </w:rPr>
        <w:t xml:space="preserve">4.1. Filosofía del Color y Modo Oscuro</w:t>
      </w:r>
    </w:p>
    <w:p w:rsidR="00000000" w:rsidDel="00000000" w:rsidP="00000000" w:rsidRDefault="00000000" w:rsidRPr="00000000" w14:paraId="0000003A">
      <w:pPr>
        <w:rPr/>
      </w:pPr>
      <w:r w:rsidDel="00000000" w:rsidR="00000000" w:rsidRPr="00000000">
        <w:rPr>
          <w:rtl w:val="0"/>
        </w:rPr>
        <w:t xml:space="preserve">Statsfirm Co. adopta el "Modo Oscuro" como estándar por defecto para todas sus interfaces y presentaciones, optimizando la legibilidad técnica y reduciendo la fatiga visual.</w:t>
      </w:r>
    </w:p>
    <w:p w:rsidR="00000000" w:rsidDel="00000000" w:rsidP="00000000" w:rsidRDefault="00000000" w:rsidRPr="00000000" w14:paraId="0000003B">
      <w:pPr>
        <w:pStyle w:val="Heading3"/>
        <w:rPr/>
      </w:pPr>
      <w:bookmarkStart w:colFirst="0" w:colLast="0" w:name="_adngz2srxlaa" w:id="16"/>
      <w:bookmarkEnd w:id="16"/>
      <w:r w:rsidDel="00000000" w:rsidR="00000000" w:rsidRPr="00000000">
        <w:rPr>
          <w:rtl w:val="0"/>
        </w:rPr>
        <w:t xml:space="preserve">4.2. Especificaciones Técnicas</w:t>
      </w:r>
    </w:p>
    <w:tbl>
      <w:tblPr>
        <w:tblStyle w:val="Table2"/>
        <w:tblW w:w="21000.0" w:type="dxa"/>
        <w:jc w:val="left"/>
        <w:tblBorders>
          <w:top w:color="cbd5e1" w:space="0" w:sz="4" w:val="single"/>
          <w:left w:color="000000" w:space="0" w:sz="0" w:val="nil"/>
          <w:bottom w:color="cbd5e1" w:space="0" w:sz="4" w:val="single"/>
          <w:right w:color="000000" w:space="0" w:sz="0" w:val="nil"/>
          <w:insideH w:color="e2e8f0" w:space="0" w:sz="4" w:val="single"/>
          <w:insideV w:color="e2e8f0"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3C">
            <w:pPr>
              <w:rPr/>
            </w:pPr>
            <w:r w:rsidDel="00000000" w:rsidR="00000000" w:rsidRPr="00000000">
              <w:rPr>
                <w:rtl w:val="0"/>
              </w:rPr>
              <w:t xml:space="preserve">Nombre del Color</w:t>
            </w:r>
          </w:p>
        </w:tc>
        <w:tc>
          <w:tcPr/>
          <w:p w:rsidR="00000000" w:rsidDel="00000000" w:rsidP="00000000" w:rsidRDefault="00000000" w:rsidRPr="00000000" w14:paraId="0000003D">
            <w:pPr>
              <w:rPr/>
            </w:pPr>
            <w:r w:rsidDel="00000000" w:rsidR="00000000" w:rsidRPr="00000000">
              <w:rPr>
                <w:rtl w:val="0"/>
              </w:rPr>
              <w:t xml:space="preserve">HEX</w:t>
            </w:r>
          </w:p>
        </w:tc>
        <w:tc>
          <w:tcPr/>
          <w:p w:rsidR="00000000" w:rsidDel="00000000" w:rsidP="00000000" w:rsidRDefault="00000000" w:rsidRPr="00000000" w14:paraId="0000003E">
            <w:pPr>
              <w:rPr/>
            </w:pPr>
            <w:r w:rsidDel="00000000" w:rsidR="00000000" w:rsidRPr="00000000">
              <w:rPr>
                <w:rtl w:val="0"/>
              </w:rPr>
              <w:t xml:space="preserve">RGB</w:t>
            </w:r>
          </w:p>
        </w:tc>
        <w:tc>
          <w:tcPr/>
          <w:p w:rsidR="00000000" w:rsidDel="00000000" w:rsidP="00000000" w:rsidRDefault="00000000" w:rsidRPr="00000000" w14:paraId="0000003F">
            <w:pPr>
              <w:rPr/>
            </w:pPr>
            <w:r w:rsidDel="00000000" w:rsidR="00000000" w:rsidRPr="00000000">
              <w:rPr>
                <w:rtl w:val="0"/>
              </w:rPr>
              <w:t xml:space="preserve">CMYK</w:t>
            </w:r>
          </w:p>
        </w:tc>
        <w:tc>
          <w:tcPr/>
          <w:p w:rsidR="00000000" w:rsidDel="00000000" w:rsidP="00000000" w:rsidRDefault="00000000" w:rsidRPr="00000000" w14:paraId="00000040">
            <w:pPr>
              <w:rPr/>
            </w:pPr>
            <w:r w:rsidDel="00000000" w:rsidR="00000000" w:rsidRPr="00000000">
              <w:rPr>
                <w:rtl w:val="0"/>
              </w:rPr>
              <w:t xml:space="preserve">Pantone</w:t>
            </w:r>
          </w:p>
        </w:tc>
        <w:tc>
          <w:tcPr/>
          <w:p w:rsidR="00000000" w:rsidDel="00000000" w:rsidP="00000000" w:rsidRDefault="00000000" w:rsidRPr="00000000" w14:paraId="00000041">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042">
            <w:pPr>
              <w:rPr/>
            </w:pPr>
            <w:r w:rsidDel="00000000" w:rsidR="00000000" w:rsidRPr="00000000">
              <w:rPr>
                <w:b w:val="1"/>
                <w:bCs w:val="1"/>
                <w:rtl w:val="0"/>
              </w:rPr>
              <w:t xml:space="preserve">Dark Slate</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#0F172A</w:t>
            </w:r>
          </w:p>
        </w:tc>
        <w:tc>
          <w:tcPr/>
          <w:p w:rsidR="00000000" w:rsidDel="00000000" w:rsidP="00000000" w:rsidRDefault="00000000" w:rsidRPr="00000000" w14:paraId="00000044">
            <w:pPr>
              <w:rPr/>
            </w:pPr>
            <w:r w:rsidDel="00000000" w:rsidR="00000000" w:rsidRPr="00000000">
              <w:rPr>
                <w:rtl w:val="0"/>
              </w:rPr>
              <w:t xml:space="preserve">15, 23, 42</w:t>
            </w:r>
          </w:p>
        </w:tc>
        <w:tc>
          <w:tcPr/>
          <w:p w:rsidR="00000000" w:rsidDel="00000000" w:rsidP="00000000" w:rsidRDefault="00000000" w:rsidRPr="00000000" w14:paraId="00000045">
            <w:pPr>
              <w:rPr/>
            </w:pPr>
            <w:r w:rsidDel="00000000" w:rsidR="00000000" w:rsidRPr="00000000">
              <w:rPr>
                <w:rtl w:val="0"/>
              </w:rPr>
              <w:t xml:space="preserve">64, 45, 0, 84</w:t>
            </w:r>
          </w:p>
        </w:tc>
        <w:tc>
          <w:tcPr/>
          <w:p w:rsidR="00000000" w:rsidDel="00000000" w:rsidP="00000000" w:rsidRDefault="00000000" w:rsidRPr="00000000" w14:paraId="00000046">
            <w:pPr>
              <w:rPr/>
            </w:pPr>
            <w:r w:rsidDel="00000000" w:rsidR="00000000" w:rsidRPr="00000000">
              <w:rPr>
                <w:rtl w:val="0"/>
              </w:rPr>
              <w:t xml:space="preserve">426 C</w:t>
            </w:r>
          </w:p>
        </w:tc>
        <w:tc>
          <w:tcPr/>
          <w:p w:rsidR="00000000" w:rsidDel="00000000" w:rsidP="00000000" w:rsidRDefault="00000000" w:rsidRPr="00000000" w14:paraId="00000047">
            <w:pPr>
              <w:rPr/>
            </w:pPr>
            <w:r w:rsidDel="00000000" w:rsidR="00000000" w:rsidRPr="00000000">
              <w:rPr>
                <w:rtl w:val="0"/>
              </w:rPr>
              <w:t xml:space="preserve">Fondo primario</w:t>
            </w:r>
          </w:p>
        </w:tc>
      </w:tr>
      <w:tr>
        <w:trPr>
          <w:cantSplit w:val="0"/>
          <w:tblHeader w:val="0"/>
        </w:trPr>
        <w:tc>
          <w:tcPr/>
          <w:p w:rsidR="00000000" w:rsidDel="00000000" w:rsidP="00000000" w:rsidRDefault="00000000" w:rsidRPr="00000000" w14:paraId="00000048">
            <w:pPr>
              <w:rPr/>
            </w:pPr>
            <w:r w:rsidDel="00000000" w:rsidR="00000000" w:rsidRPr="00000000">
              <w:rPr>
                <w:b w:val="1"/>
                <w:bCs w:val="1"/>
                <w:rtl w:val="0"/>
              </w:rPr>
              <w:t xml:space="preserve">Graphite Dark</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#111827</w:t>
            </w:r>
          </w:p>
        </w:tc>
        <w:tc>
          <w:tcPr/>
          <w:p w:rsidR="00000000" w:rsidDel="00000000" w:rsidP="00000000" w:rsidRDefault="00000000" w:rsidRPr="00000000" w14:paraId="0000004A">
            <w:pPr>
              <w:rPr/>
            </w:pPr>
            <w:r w:rsidDel="00000000" w:rsidR="00000000" w:rsidRPr="00000000">
              <w:rPr>
                <w:rtl w:val="0"/>
              </w:rPr>
              <w:t xml:space="preserve">17, 24, 39</w:t>
            </w:r>
          </w:p>
        </w:tc>
        <w:tc>
          <w:tcPr/>
          <w:p w:rsidR="00000000" w:rsidDel="00000000" w:rsidP="00000000" w:rsidRDefault="00000000" w:rsidRPr="00000000" w14:paraId="0000004B">
            <w:pPr>
              <w:rPr/>
            </w:pPr>
            <w:r w:rsidDel="00000000" w:rsidR="00000000" w:rsidRPr="00000000">
              <w:rPr>
                <w:rtl w:val="0"/>
              </w:rPr>
              <w:t xml:space="preserve">56, 38, 0, 85</w:t>
            </w:r>
          </w:p>
        </w:tc>
        <w:tc>
          <w:tcPr/>
          <w:p w:rsidR="00000000" w:rsidDel="00000000" w:rsidP="00000000" w:rsidRDefault="00000000" w:rsidRPr="00000000" w14:paraId="0000004C">
            <w:pPr>
              <w:rPr/>
            </w:pPr>
            <w:r w:rsidDel="00000000" w:rsidR="00000000" w:rsidRPr="00000000">
              <w:rPr>
                <w:rtl w:val="0"/>
              </w:rPr>
              <w:t xml:space="preserve">Black 6 C</w:t>
            </w:r>
          </w:p>
        </w:tc>
        <w:tc>
          <w:tcPr/>
          <w:p w:rsidR="00000000" w:rsidDel="00000000" w:rsidP="00000000" w:rsidRDefault="00000000" w:rsidRPr="00000000" w14:paraId="0000004D">
            <w:pPr>
              <w:rPr/>
            </w:pPr>
            <w:r w:rsidDel="00000000" w:rsidR="00000000" w:rsidRPr="00000000">
              <w:rPr>
                <w:rtl w:val="0"/>
              </w:rPr>
              <w:t xml:space="preserve">Estructura de UI</w:t>
            </w:r>
          </w:p>
        </w:tc>
      </w:tr>
      <w:tr>
        <w:trPr>
          <w:cantSplit w:val="0"/>
          <w:tblHeader w:val="0"/>
        </w:trPr>
        <w:tc>
          <w:tcPr/>
          <w:p w:rsidR="00000000" w:rsidDel="00000000" w:rsidP="00000000" w:rsidRDefault="00000000" w:rsidRPr="00000000" w14:paraId="0000004E">
            <w:pPr>
              <w:rPr/>
            </w:pPr>
            <w:r w:rsidDel="00000000" w:rsidR="00000000" w:rsidRPr="00000000">
              <w:rPr>
                <w:b w:val="1"/>
                <w:bCs w:val="1"/>
                <w:rtl w:val="0"/>
              </w:rPr>
              <w:t xml:space="preserve">Code Green</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#00FF66</w:t>
            </w:r>
          </w:p>
        </w:tc>
        <w:tc>
          <w:tcPr/>
          <w:p w:rsidR="00000000" w:rsidDel="00000000" w:rsidP="00000000" w:rsidRDefault="00000000" w:rsidRPr="00000000" w14:paraId="00000050">
            <w:pPr>
              <w:rPr/>
            </w:pPr>
            <w:r w:rsidDel="00000000" w:rsidR="00000000" w:rsidRPr="00000000">
              <w:rPr>
                <w:rtl w:val="0"/>
              </w:rPr>
              <w:t xml:space="preserve">0, 255, 102</w:t>
            </w:r>
          </w:p>
        </w:tc>
        <w:tc>
          <w:tcPr/>
          <w:p w:rsidR="00000000" w:rsidDel="00000000" w:rsidP="00000000" w:rsidRDefault="00000000" w:rsidRPr="00000000" w14:paraId="00000051">
            <w:pPr>
              <w:rPr/>
            </w:pPr>
            <w:r w:rsidDel="00000000" w:rsidR="00000000" w:rsidRPr="00000000">
              <w:rPr>
                <w:rtl w:val="0"/>
              </w:rPr>
              <w:t xml:space="preserve">100, 0, 60, 0</w:t>
            </w:r>
          </w:p>
        </w:tc>
        <w:tc>
          <w:tcPr/>
          <w:p w:rsidR="00000000" w:rsidDel="00000000" w:rsidP="00000000" w:rsidRDefault="00000000" w:rsidRPr="00000000" w14:paraId="00000052">
            <w:pPr>
              <w:rPr/>
            </w:pPr>
            <w:r w:rsidDel="00000000" w:rsidR="00000000" w:rsidRPr="00000000">
              <w:rPr>
                <w:rtl w:val="0"/>
              </w:rPr>
              <w:t xml:space="preserve">802 C</w:t>
            </w:r>
          </w:p>
        </w:tc>
        <w:tc>
          <w:tcPr/>
          <w:p w:rsidR="00000000" w:rsidDel="00000000" w:rsidP="00000000" w:rsidRDefault="00000000" w:rsidRPr="00000000" w14:paraId="00000053">
            <w:pPr>
              <w:rPr/>
            </w:pPr>
            <w:r w:rsidDel="00000000" w:rsidR="00000000" w:rsidRPr="00000000">
              <w:rPr>
                <w:rtl w:val="0"/>
              </w:rPr>
              <w:t xml:space="preserve">Acento de éxito</w:t>
            </w:r>
          </w:p>
        </w:tc>
      </w:tr>
      <w:tr>
        <w:trPr>
          <w:cantSplit w:val="0"/>
          <w:tblHeader w:val="0"/>
        </w:trPr>
        <w:tc>
          <w:tcPr/>
          <w:p w:rsidR="00000000" w:rsidDel="00000000" w:rsidP="00000000" w:rsidRDefault="00000000" w:rsidRPr="00000000" w14:paraId="00000054">
            <w:pPr>
              <w:rPr/>
            </w:pPr>
            <w:r w:rsidDel="00000000" w:rsidR="00000000" w:rsidRPr="00000000">
              <w:rPr>
                <w:b w:val="1"/>
                <w:bCs w:val="1"/>
                <w:rtl w:val="0"/>
              </w:rPr>
              <w:t xml:space="preserve">Electric Cyan</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#22D3EE</w:t>
            </w:r>
          </w:p>
        </w:tc>
        <w:tc>
          <w:tcPr/>
          <w:p w:rsidR="00000000" w:rsidDel="00000000" w:rsidP="00000000" w:rsidRDefault="00000000" w:rsidRPr="00000000" w14:paraId="00000056">
            <w:pPr>
              <w:rPr/>
            </w:pPr>
            <w:r w:rsidDel="00000000" w:rsidR="00000000" w:rsidRPr="00000000">
              <w:rPr>
                <w:rtl w:val="0"/>
              </w:rPr>
              <w:t xml:space="preserve">34, 211, 238</w:t>
            </w:r>
          </w:p>
        </w:tc>
        <w:tc>
          <w:tcPr/>
          <w:p w:rsidR="00000000" w:rsidDel="00000000" w:rsidP="00000000" w:rsidRDefault="00000000" w:rsidRPr="00000000" w14:paraId="00000057">
            <w:pPr>
              <w:rPr/>
            </w:pPr>
            <w:r w:rsidDel="00000000" w:rsidR="00000000" w:rsidRPr="00000000">
              <w:rPr>
                <w:rtl w:val="0"/>
              </w:rPr>
              <w:t xml:space="preserve">86, 11, 0, 7</w:t>
            </w:r>
          </w:p>
        </w:tc>
        <w:tc>
          <w:tcPr/>
          <w:p w:rsidR="00000000" w:rsidDel="00000000" w:rsidP="00000000" w:rsidRDefault="00000000" w:rsidRPr="00000000" w14:paraId="00000058">
            <w:pPr>
              <w:rPr/>
            </w:pPr>
            <w:r w:rsidDel="00000000" w:rsidR="00000000" w:rsidRPr="00000000">
              <w:rPr>
                <w:rtl w:val="0"/>
              </w:rPr>
              <w:t xml:space="preserve">305 C</w:t>
            </w:r>
          </w:p>
        </w:tc>
        <w:tc>
          <w:tcPr/>
          <w:p w:rsidR="00000000" w:rsidDel="00000000" w:rsidP="00000000" w:rsidRDefault="00000000" w:rsidRPr="00000000" w14:paraId="00000059">
            <w:pPr>
              <w:rPr/>
            </w:pPr>
            <w:r w:rsidDel="00000000" w:rsidR="00000000" w:rsidRPr="00000000">
              <w:rPr>
                <w:rtl w:val="0"/>
              </w:rPr>
              <w:t xml:space="preserve">Flujos analíticos</w:t>
            </w:r>
          </w:p>
        </w:tc>
      </w:tr>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Pure White</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#FFFFFF</w:t>
            </w:r>
          </w:p>
        </w:tc>
        <w:tc>
          <w:tcPr/>
          <w:p w:rsidR="00000000" w:rsidDel="00000000" w:rsidP="00000000" w:rsidRDefault="00000000" w:rsidRPr="00000000" w14:paraId="0000005C">
            <w:pPr>
              <w:rPr/>
            </w:pPr>
            <w:r w:rsidDel="00000000" w:rsidR="00000000" w:rsidRPr="00000000">
              <w:rPr>
                <w:rtl w:val="0"/>
              </w:rPr>
              <w:t xml:space="preserve">255, 255, 255</w:t>
            </w:r>
          </w:p>
        </w:tc>
        <w:tc>
          <w:tcPr/>
          <w:p w:rsidR="00000000" w:rsidDel="00000000" w:rsidP="00000000" w:rsidRDefault="00000000" w:rsidRPr="00000000" w14:paraId="0000005D">
            <w:pPr>
              <w:rPr/>
            </w:pPr>
            <w:r w:rsidDel="00000000" w:rsidR="00000000" w:rsidRPr="00000000">
              <w:rPr>
                <w:rtl w:val="0"/>
              </w:rPr>
              <w:t xml:space="preserve">0, 0, 0, 0</w:t>
            </w:r>
          </w:p>
        </w:tc>
        <w:tc>
          <w:tcPr/>
          <w:p w:rsidR="00000000" w:rsidDel="00000000" w:rsidP="00000000" w:rsidRDefault="00000000" w:rsidRPr="00000000" w14:paraId="0000005E">
            <w:pPr>
              <w:rPr/>
            </w:pPr>
            <w:r w:rsidDel="00000000" w:rsidR="00000000" w:rsidRPr="00000000">
              <w:rPr>
                <w:rtl w:val="0"/>
              </w:rPr>
              <w:t xml:space="preserve">-</w:t>
            </w:r>
          </w:p>
        </w:tc>
        <w:tc>
          <w:tcPr/>
          <w:p w:rsidR="00000000" w:rsidDel="00000000" w:rsidP="00000000" w:rsidRDefault="00000000" w:rsidRPr="00000000" w14:paraId="0000005F">
            <w:pPr>
              <w:rPr/>
            </w:pPr>
            <w:r w:rsidDel="00000000" w:rsidR="00000000" w:rsidRPr="00000000">
              <w:rPr>
                <w:rtl w:val="0"/>
              </w:rPr>
              <w:t xml:space="preserve">Titulares</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Titanium Gray</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#6B7280</w:t>
            </w:r>
          </w:p>
        </w:tc>
        <w:tc>
          <w:tcPr/>
          <w:p w:rsidR="00000000" w:rsidDel="00000000" w:rsidP="00000000" w:rsidRDefault="00000000" w:rsidRPr="00000000" w14:paraId="00000062">
            <w:pPr>
              <w:rPr/>
            </w:pPr>
            <w:r w:rsidDel="00000000" w:rsidR="00000000" w:rsidRPr="00000000">
              <w:rPr>
                <w:rtl w:val="0"/>
              </w:rPr>
              <w:t xml:space="preserve">107, 114, 128</w:t>
            </w:r>
          </w:p>
        </w:tc>
        <w:tc>
          <w:tcPr/>
          <w:p w:rsidR="00000000" w:rsidDel="00000000" w:rsidP="00000000" w:rsidRDefault="00000000" w:rsidRPr="00000000" w14:paraId="00000063">
            <w:pPr>
              <w:rPr/>
            </w:pPr>
            <w:r w:rsidDel="00000000" w:rsidR="00000000" w:rsidRPr="00000000">
              <w:rPr>
                <w:rtl w:val="0"/>
              </w:rPr>
              <w:t xml:space="preserve">16, 11, 0, 50</w:t>
            </w:r>
          </w:p>
        </w:tc>
        <w:tc>
          <w:tcPr/>
          <w:p w:rsidR="00000000" w:rsidDel="00000000" w:rsidP="00000000" w:rsidRDefault="00000000" w:rsidRPr="00000000" w14:paraId="00000064">
            <w:pPr>
              <w:rPr/>
            </w:pPr>
            <w:r w:rsidDel="00000000" w:rsidR="00000000" w:rsidRPr="00000000">
              <w:rPr>
                <w:rtl w:val="0"/>
              </w:rPr>
              <w:t xml:space="preserve">Cool Gray 8</w:t>
            </w:r>
          </w:p>
        </w:tc>
        <w:tc>
          <w:tcPr/>
          <w:p w:rsidR="00000000" w:rsidDel="00000000" w:rsidP="00000000" w:rsidRDefault="00000000" w:rsidRPr="00000000" w14:paraId="00000065">
            <w:pPr>
              <w:rPr/>
            </w:pPr>
            <w:r w:rsidDel="00000000" w:rsidR="00000000" w:rsidRPr="00000000">
              <w:rPr>
                <w:rtl w:val="0"/>
              </w:rPr>
              <w:t xml:space="preserve">Texto secundario</w:t>
            </w:r>
          </w:p>
        </w:tc>
      </w:tr>
    </w:tbl>
    <w:p w:rsidR="00000000" w:rsidDel="00000000" w:rsidP="00000000" w:rsidRDefault="00000000" w:rsidRPr="00000000" w14:paraId="00000066">
      <w:pPr>
        <w:pStyle w:val="Heading3"/>
        <w:rPr/>
      </w:pPr>
      <w:bookmarkStart w:colFirst="0" w:colLast="0" w:name="_c5pf5opt4z71" w:id="17"/>
      <w:bookmarkEnd w:id="17"/>
      <w:r w:rsidDel="00000000" w:rsidR="00000000" w:rsidRPr="00000000">
        <w:rPr>
          <w:rtl w:val="0"/>
        </w:rPr>
        <w:t xml:space="preserve">4.3. Matriz de Contraste y Accesibilidad</w:t>
      </w:r>
    </w:p>
    <w:p w:rsidR="00000000" w:rsidDel="00000000" w:rsidP="00000000" w:rsidRDefault="00000000" w:rsidRPr="00000000" w14:paraId="00000067">
      <w:pPr>
        <w:rPr/>
      </w:pPr>
      <w:r w:rsidDel="00000000" w:rsidR="00000000" w:rsidRPr="00000000">
        <w:rPr>
          <w:rtl w:val="0"/>
        </w:rPr>
        <w:t xml:space="preserve">Se exige el cumplimiento del estándar </w:t>
      </w:r>
      <w:r w:rsidDel="00000000" w:rsidR="00000000" w:rsidRPr="00000000">
        <w:rPr>
          <w:b w:val="1"/>
          <w:bCs w:val="1"/>
          <w:rtl w:val="0"/>
        </w:rPr>
        <w:t xml:space="preserve">WCAG 2.1 Nivel AAA/AA</w:t>
      </w:r>
      <w:r w:rsidDel="00000000" w:rsidR="00000000" w:rsidRPr="00000000">
        <w:rPr>
          <w:rtl w:val="0"/>
        </w:rPr>
        <w:t xml:space="preserve">. El ratio de contraste para texto sobre fondos oscuros debe ser de al menos 7:1 en elementos principales y 4.5:1 en elementos secundarios.</w:t>
      </w:r>
    </w:p>
    <w:p w:rsidR="00000000" w:rsidDel="00000000" w:rsidP="00000000" w:rsidRDefault="00000000" w:rsidRPr="00000000" w14:paraId="00000068">
      <w:pPr>
        <w:pStyle w:val="Heading2"/>
        <w:rPr/>
      </w:pPr>
      <w:bookmarkStart w:colFirst="0" w:colLast="0" w:name="_di4q7uwf9qvz" w:id="18"/>
      <w:bookmarkEnd w:id="18"/>
      <w:r w:rsidDel="00000000" w:rsidR="00000000" w:rsidRPr="00000000">
        <w:rPr>
          <w:rtl w:val="0"/>
        </w:rPr>
        <w:t xml:space="preserve">5. SISTEMA TIPOGRÁFICO CORPORATIVO</w:t>
      </w:r>
    </w:p>
    <w:p w:rsidR="00000000" w:rsidDel="00000000" w:rsidP="00000000" w:rsidRDefault="00000000" w:rsidRPr="00000000" w14:paraId="00000069">
      <w:pPr>
        <w:pStyle w:val="Heading3"/>
        <w:rPr/>
      </w:pPr>
      <w:bookmarkStart w:colFirst="0" w:colLast="0" w:name="_tb0br9wc0i8w" w:id="19"/>
      <w:bookmarkEnd w:id="19"/>
      <w:r w:rsidDel="00000000" w:rsidR="00000000" w:rsidRPr="00000000">
        <w:rPr>
          <w:rtl w:val="0"/>
        </w:rPr>
        <w:t xml:space="preserve">5.1. Fuentes Institucionales</w:t>
      </w:r>
    </w:p>
    <w:p w:rsidR="00000000" w:rsidDel="00000000" w:rsidP="00000000" w:rsidRDefault="00000000" w:rsidRPr="00000000" w14:paraId="0000006A">
      <w:pPr>
        <w:numPr>
          <w:ilvl w:val="0"/>
          <w:numId w:val="3"/>
        </w:numPr>
        <w:ind w:left="720" w:hanging="360"/>
      </w:pPr>
      <w:r w:rsidDel="00000000" w:rsidR="00000000" w:rsidRPr="00000000">
        <w:rPr>
          <w:b w:val="1"/>
          <w:bCs w:val="1"/>
          <w:rtl w:val="0"/>
        </w:rPr>
        <w:t xml:space="preserve">Familia Primaria (Display):</w:t>
      </w:r>
      <w:r w:rsidDel="00000000" w:rsidR="00000000" w:rsidRPr="00000000">
        <w:rPr>
          <w:rtl w:val="0"/>
        </w:rPr>
        <w:t xml:space="preserve"> Space Grotesk / Inter Display. Pesos: Bold (700) y SemiBold (600).</w:t>
      </w:r>
    </w:p>
    <w:p w:rsidR="00000000" w:rsidDel="00000000" w:rsidP="00000000" w:rsidRDefault="00000000" w:rsidRPr="00000000" w14:paraId="0000006B">
      <w:pPr>
        <w:numPr>
          <w:ilvl w:val="0"/>
          <w:numId w:val="3"/>
        </w:numPr>
        <w:ind w:left="720" w:hanging="360"/>
      </w:pPr>
      <w:r w:rsidDel="00000000" w:rsidR="00000000" w:rsidRPr="00000000">
        <w:rPr>
          <w:b w:val="1"/>
          <w:bCs w:val="1"/>
          <w:rtl w:val="0"/>
        </w:rPr>
        <w:t xml:space="preserve">Familia Secundaria (Cuerpo):</w:t>
      </w:r>
      <w:r w:rsidDel="00000000" w:rsidR="00000000" w:rsidRPr="00000000">
        <w:rPr>
          <w:rtl w:val="0"/>
        </w:rPr>
        <w:t xml:space="preserve"> Inter. Pesos: Regular (400) y Medium (500).</w:t>
      </w:r>
    </w:p>
    <w:p w:rsidR="00000000" w:rsidDel="00000000" w:rsidP="00000000" w:rsidRDefault="00000000" w:rsidRPr="00000000" w14:paraId="0000006C">
      <w:pPr>
        <w:numPr>
          <w:ilvl w:val="0"/>
          <w:numId w:val="3"/>
        </w:numPr>
        <w:ind w:left="720" w:hanging="360"/>
      </w:pPr>
      <w:r w:rsidDel="00000000" w:rsidR="00000000" w:rsidRPr="00000000">
        <w:rPr>
          <w:b w:val="1"/>
          <w:bCs w:val="1"/>
          <w:rtl w:val="0"/>
        </w:rPr>
        <w:t xml:space="preserve">Familia Técnica (Código/Datos):</w:t>
      </w:r>
      <w:r w:rsidDel="00000000" w:rsidR="00000000" w:rsidRPr="00000000">
        <w:rPr>
          <w:rtl w:val="0"/>
        </w:rPr>
        <w:t xml:space="preserve"> JetBrains Mono / Fira Code. Pesos: Regular (400) y Bold (700).</w:t>
      </w:r>
    </w:p>
    <w:p w:rsidR="00000000" w:rsidDel="00000000" w:rsidP="00000000" w:rsidRDefault="00000000" w:rsidRPr="00000000" w14:paraId="0000006D">
      <w:pPr>
        <w:pStyle w:val="Heading3"/>
        <w:rPr/>
      </w:pPr>
      <w:bookmarkStart w:colFirst="0" w:colLast="0" w:name="_m6sgtete5mcf" w:id="20"/>
      <w:bookmarkEnd w:id="20"/>
      <w:r w:rsidDel="00000000" w:rsidR="00000000" w:rsidRPr="00000000">
        <w:rPr>
          <w:rtl w:val="0"/>
        </w:rPr>
        <w:t xml:space="preserve">5.2. Escala Tipográfica Modular</w:t>
      </w:r>
    </w:p>
    <w:p w:rsidR="00000000" w:rsidDel="00000000" w:rsidP="00000000" w:rsidRDefault="00000000" w:rsidRPr="00000000" w14:paraId="0000006E">
      <w:pPr>
        <w:numPr>
          <w:ilvl w:val="0"/>
          <w:numId w:val="3"/>
        </w:numPr>
        <w:ind w:left="720" w:hanging="360"/>
      </w:pPr>
      <w:r w:rsidDel="00000000" w:rsidR="00000000" w:rsidRPr="00000000">
        <w:rPr>
          <w:b w:val="1"/>
          <w:bCs w:val="1"/>
          <w:rtl w:val="0"/>
        </w:rPr>
        <w:t xml:space="preserve">H1 / Display:</w:t>
      </w:r>
      <w:r w:rsidDel="00000000" w:rsidR="00000000" w:rsidRPr="00000000">
        <w:rPr>
          <w:rtl w:val="0"/>
        </w:rPr>
        <w:t xml:space="preserve"> 48px | Line-height: 1.1</w:t>
      </w:r>
    </w:p>
    <w:p w:rsidR="00000000" w:rsidDel="00000000" w:rsidP="00000000" w:rsidRDefault="00000000" w:rsidRPr="00000000" w14:paraId="0000006F">
      <w:pPr>
        <w:numPr>
          <w:ilvl w:val="0"/>
          <w:numId w:val="3"/>
        </w:numPr>
        <w:ind w:left="720" w:hanging="360"/>
      </w:pPr>
      <w:r w:rsidDel="00000000" w:rsidR="00000000" w:rsidRPr="00000000">
        <w:rPr>
          <w:b w:val="1"/>
          <w:bCs w:val="1"/>
          <w:rtl w:val="0"/>
        </w:rPr>
        <w:t xml:space="preserve">H2 / Subheader:</w:t>
      </w:r>
      <w:r w:rsidDel="00000000" w:rsidR="00000000" w:rsidRPr="00000000">
        <w:rPr>
          <w:rtl w:val="0"/>
        </w:rPr>
        <w:t xml:space="preserve"> 32px | Line-height: 1.2</w:t>
      </w:r>
    </w:p>
    <w:p w:rsidR="00000000" w:rsidDel="00000000" w:rsidP="00000000" w:rsidRDefault="00000000" w:rsidRPr="00000000" w14:paraId="00000070">
      <w:pPr>
        <w:numPr>
          <w:ilvl w:val="0"/>
          <w:numId w:val="3"/>
        </w:numPr>
        <w:ind w:left="720" w:hanging="360"/>
      </w:pPr>
      <w:r w:rsidDel="00000000" w:rsidR="00000000" w:rsidRPr="00000000">
        <w:rPr>
          <w:b w:val="1"/>
          <w:bCs w:val="1"/>
          <w:rtl w:val="0"/>
        </w:rPr>
        <w:t xml:space="preserve">Body Text:</w:t>
      </w:r>
      <w:r w:rsidDel="00000000" w:rsidR="00000000" w:rsidRPr="00000000">
        <w:rPr>
          <w:rtl w:val="0"/>
        </w:rPr>
        <w:t xml:space="preserve"> 16px | Line-height: 1.5</w:t>
      </w:r>
    </w:p>
    <w:p w:rsidR="00000000" w:rsidDel="00000000" w:rsidP="00000000" w:rsidRDefault="00000000" w:rsidRPr="00000000" w14:paraId="00000071">
      <w:pPr>
        <w:numPr>
          <w:ilvl w:val="0"/>
          <w:numId w:val="3"/>
        </w:numPr>
        <w:ind w:left="720" w:hanging="360"/>
      </w:pPr>
      <w:r w:rsidDel="00000000" w:rsidR="00000000" w:rsidRPr="00000000">
        <w:rPr>
          <w:b w:val="1"/>
          <w:bCs w:val="1"/>
          <w:rtl w:val="0"/>
        </w:rPr>
        <w:t xml:space="preserve">Caption / Metadata:</w:t>
      </w:r>
      <w:r w:rsidDel="00000000" w:rsidR="00000000" w:rsidRPr="00000000">
        <w:rPr>
          <w:rtl w:val="0"/>
        </w:rPr>
        <w:t xml:space="preserve"> 11px | Line-height: 1.2 | Letter-spacing: +0.02em</w:t>
      </w:r>
    </w:p>
    <w:p w:rsidR="00000000" w:rsidDel="00000000" w:rsidP="00000000" w:rsidRDefault="00000000" w:rsidRPr="00000000" w14:paraId="00000072">
      <w:pPr>
        <w:pStyle w:val="Heading2"/>
        <w:rPr/>
      </w:pPr>
      <w:bookmarkStart w:colFirst="0" w:colLast="0" w:name="_bm68471a3h1i" w:id="21"/>
      <w:bookmarkEnd w:id="21"/>
      <w:r w:rsidDel="00000000" w:rsidR="00000000" w:rsidRPr="00000000">
        <w:rPr>
          <w:rtl w:val="0"/>
        </w:rPr>
        <w:t xml:space="preserve">6. LENGUAJE ICONOGRÁFICO Y GRÁFICA DE SOPORTE</w:t>
      </w:r>
    </w:p>
    <w:p w:rsidR="00000000" w:rsidDel="00000000" w:rsidP="00000000" w:rsidRDefault="00000000" w:rsidRPr="00000000" w14:paraId="00000073">
      <w:pPr>
        <w:numPr>
          <w:ilvl w:val="0"/>
          <w:numId w:val="3"/>
        </w:numPr>
        <w:ind w:left="720" w:hanging="360"/>
      </w:pPr>
      <w:r w:rsidDel="00000000" w:rsidR="00000000" w:rsidRPr="00000000">
        <w:rPr>
          <w:b w:val="1"/>
          <w:bCs w:val="1"/>
          <w:rtl w:val="0"/>
        </w:rPr>
        <w:t xml:space="preserve">Estilo de Iconos:</w:t>
      </w:r>
      <w:r w:rsidDel="00000000" w:rsidR="00000000" w:rsidRPr="00000000">
        <w:rPr>
          <w:rtl w:val="0"/>
        </w:rPr>
        <w:t xml:space="preserve"> Iconografía lineal construida sobre rejilla de 24x24px. Grosor de trazo uniforme de 1.5px con vértices rectos o radio mínimo de 1px.</w:t>
      </w:r>
    </w:p>
    <w:p w:rsidR="00000000" w:rsidDel="00000000" w:rsidP="00000000" w:rsidRDefault="00000000" w:rsidRPr="00000000" w14:paraId="00000074">
      <w:pPr>
        <w:numPr>
          <w:ilvl w:val="0"/>
          <w:numId w:val="3"/>
        </w:numPr>
        <w:ind w:left="720" w:hanging="360"/>
      </w:pPr>
      <w:r w:rsidDel="00000000" w:rsidR="00000000" w:rsidRPr="00000000">
        <w:rPr>
          <w:b w:val="1"/>
          <w:bCs w:val="1"/>
          <w:rtl w:val="0"/>
        </w:rPr>
        <w:t xml:space="preserve">Malla Blueprint:</w:t>
      </w:r>
      <w:r w:rsidDel="00000000" w:rsidR="00000000" w:rsidRPr="00000000">
        <w:rPr>
          <w:rtl w:val="0"/>
        </w:rPr>
        <w:t xml:space="preserve"> Uso de tramas ortogonales sutiles en Titanium Gray con 5% de opacidad para fondos de presentaciones y portadas de informes técnicos.</w:t>
      </w:r>
    </w:p>
    <w:p w:rsidR="00000000" w:rsidDel="00000000" w:rsidP="00000000" w:rsidRDefault="00000000" w:rsidRPr="00000000" w14:paraId="00000075">
      <w:pPr>
        <w:numPr>
          <w:ilvl w:val="0"/>
          <w:numId w:val="3"/>
        </w:numPr>
        <w:ind w:left="720" w:hanging="360"/>
      </w:pPr>
      <w:r w:rsidDel="00000000" w:rsidR="00000000" w:rsidRPr="00000000">
        <w:rPr>
          <w:b w:val="1"/>
          <w:bCs w:val="1"/>
          <w:rtl w:val="0"/>
        </w:rPr>
        <w:t xml:space="preserve">Nodos y Conectores:</w:t>
      </w:r>
      <w:r w:rsidDel="00000000" w:rsidR="00000000" w:rsidRPr="00000000">
        <w:rPr>
          <w:rtl w:val="0"/>
        </w:rPr>
        <w:t xml:space="preserve"> Las representaciones de pipelines de datos deben utilizar líneas ortogonales limpias e indicadores de flujo discretos, evitando efectos 3D.</w:t>
      </w:r>
    </w:p>
    <w:p w:rsidR="00000000" w:rsidDel="00000000" w:rsidP="00000000" w:rsidRDefault="00000000" w:rsidRPr="00000000" w14:paraId="00000076">
      <w:pPr>
        <w:pStyle w:val="Heading2"/>
        <w:rPr/>
      </w:pPr>
      <w:bookmarkStart w:colFirst="0" w:colLast="0" w:name="_1kd2imexeo23" w:id="22"/>
      <w:bookmarkEnd w:id="22"/>
      <w:r w:rsidDel="00000000" w:rsidR="00000000" w:rsidRPr="00000000">
        <w:rPr>
          <w:rtl w:val="0"/>
        </w:rPr>
        <w:t xml:space="preserve">7. DIRECTRICES DE USO INDEBIDO Y PROHIBICIONES</w:t>
      </w:r>
    </w:p>
    <w:p w:rsidR="00000000" w:rsidDel="00000000" w:rsidP="00000000" w:rsidRDefault="00000000" w:rsidRPr="00000000" w14:paraId="00000077">
      <w:pPr>
        <w:numPr>
          <w:ilvl w:val="0"/>
          <w:numId w:val="3"/>
        </w:numPr>
        <w:ind w:left="720" w:hanging="360"/>
      </w:pPr>
      <w:r w:rsidDel="00000000" w:rsidR="00000000" w:rsidRPr="00000000">
        <w:rPr>
          <w:b w:val="1"/>
          <w:bCs w:val="1"/>
          <w:rtl w:val="0"/>
        </w:rPr>
        <w:t xml:space="preserve">Deformación:</w:t>
      </w:r>
      <w:r w:rsidDel="00000000" w:rsidR="00000000" w:rsidRPr="00000000">
        <w:rPr>
          <w:rtl w:val="0"/>
        </w:rPr>
        <w:t xml:space="preserve"> Prohibido estirar o alterar las proporciones del logotipo.</w:t>
      </w:r>
    </w:p>
    <w:p w:rsidR="00000000" w:rsidDel="00000000" w:rsidP="00000000" w:rsidRDefault="00000000" w:rsidRPr="00000000" w14:paraId="00000078">
      <w:pPr>
        <w:numPr>
          <w:ilvl w:val="0"/>
          <w:numId w:val="3"/>
        </w:numPr>
        <w:ind w:left="720" w:hanging="360"/>
      </w:pPr>
      <w:r w:rsidDel="00000000" w:rsidR="00000000" w:rsidRPr="00000000">
        <w:rPr>
          <w:b w:val="1"/>
          <w:bCs w:val="1"/>
          <w:rtl w:val="0"/>
        </w:rPr>
        <w:t xml:space="preserve">Efectos:</w:t>
      </w:r>
      <w:r w:rsidDel="00000000" w:rsidR="00000000" w:rsidRPr="00000000">
        <w:rPr>
          <w:rtl w:val="0"/>
        </w:rPr>
        <w:t xml:space="preserve"> Prohibido el uso de sombras paralelas, biseles, brillos o degradados de estilo masivo.</w:t>
      </w:r>
    </w:p>
    <w:p w:rsidR="00000000" w:rsidDel="00000000" w:rsidP="00000000" w:rsidRDefault="00000000" w:rsidRPr="00000000" w14:paraId="00000079">
      <w:pPr>
        <w:numPr>
          <w:ilvl w:val="0"/>
          <w:numId w:val="3"/>
        </w:numPr>
        <w:ind w:left="720" w:hanging="360"/>
      </w:pPr>
      <w:r w:rsidDel="00000000" w:rsidR="00000000" w:rsidRPr="00000000">
        <w:rPr>
          <w:b w:val="1"/>
          <w:bCs w:val="1"/>
          <w:rtl w:val="0"/>
        </w:rPr>
        <w:t xml:space="preserve">Cromatismo:</w:t>
      </w:r>
      <w:r w:rsidDel="00000000" w:rsidR="00000000" w:rsidRPr="00000000">
        <w:rPr>
          <w:rtl w:val="0"/>
        </w:rPr>
        <w:t xml:space="preserve"> Prohibido sustituir los colores normativos por tonos fuera de la paleta técnica.</w:t>
      </w:r>
    </w:p>
    <w:p w:rsidR="00000000" w:rsidDel="00000000" w:rsidP="00000000" w:rsidRDefault="00000000" w:rsidRPr="00000000" w14:paraId="0000007A">
      <w:pPr>
        <w:numPr>
          <w:ilvl w:val="0"/>
          <w:numId w:val="3"/>
        </w:numPr>
        <w:ind w:left="720" w:hanging="360"/>
      </w:pPr>
      <w:r w:rsidDel="00000000" w:rsidR="00000000" w:rsidRPr="00000000">
        <w:rPr>
          <w:b w:val="1"/>
          <w:bCs w:val="1"/>
          <w:rtl w:val="0"/>
        </w:rPr>
        <w:t xml:space="preserve">Fondos:</w:t>
      </w:r>
      <w:r w:rsidDel="00000000" w:rsidR="00000000" w:rsidRPr="00000000">
        <w:rPr>
          <w:rtl w:val="0"/>
        </w:rPr>
        <w:t xml:space="preserve"> Prohibido colocar la marca sobre fondos fotográficos complejos sin una máscara de contraste adecuada.</w:t>
      </w:r>
    </w:p>
    <w:p w:rsidR="00000000" w:rsidDel="00000000" w:rsidP="00000000" w:rsidRDefault="00000000" w:rsidRPr="00000000" w14:paraId="0000007B">
      <w:pPr>
        <w:pStyle w:val="Heading2"/>
        <w:rPr/>
      </w:pPr>
      <w:bookmarkStart w:colFirst="0" w:colLast="0" w:name="_5f8rtov4xykq" w:id="23"/>
      <w:bookmarkEnd w:id="23"/>
      <w:r w:rsidDel="00000000" w:rsidR="00000000" w:rsidRPr="00000000">
        <w:rPr>
          <w:rtl w:val="0"/>
        </w:rPr>
        <w:t xml:space="preserve">8. SISTEMA DE DISEÑO DIGITAL (UI/UX)</w:t>
      </w:r>
    </w:p>
    <w:p w:rsidR="00000000" w:rsidDel="00000000" w:rsidP="00000000" w:rsidRDefault="00000000" w:rsidRPr="00000000" w14:paraId="0000007C">
      <w:pPr>
        <w:numPr>
          <w:ilvl w:val="0"/>
          <w:numId w:val="3"/>
        </w:numPr>
        <w:ind w:left="720" w:hanging="360"/>
      </w:pPr>
      <w:r w:rsidDel="00000000" w:rsidR="00000000" w:rsidRPr="00000000">
        <w:rPr>
          <w:b w:val="1"/>
          <w:bCs w:val="1"/>
          <w:rtl w:val="0"/>
        </w:rPr>
        <w:t xml:space="preserve">App del Cliente:</w:t>
      </w:r>
      <w:r w:rsidDel="00000000" w:rsidR="00000000" w:rsidRPr="00000000">
        <w:rPr>
          <w:rtl w:val="0"/>
        </w:rPr>
        <w:t xml:space="preserve"> Interfaz modular inspirada en consolas de mando. Incluye tarjetas de estado de proyectos y telemetría de pipelines en tiempo real.</w:t>
      </w:r>
    </w:p>
    <w:p w:rsidR="00000000" w:rsidDel="00000000" w:rsidP="00000000" w:rsidRDefault="00000000" w:rsidRPr="00000000" w14:paraId="0000007D">
      <w:pPr>
        <w:numPr>
          <w:ilvl w:val="0"/>
          <w:numId w:val="3"/>
        </w:numPr>
        <w:ind w:left="720" w:hanging="360"/>
      </w:pPr>
      <w:r w:rsidDel="00000000" w:rsidR="00000000" w:rsidRPr="00000000">
        <w:rPr>
          <w:b w:val="1"/>
          <w:bCs w:val="1"/>
          <w:rtl w:val="0"/>
        </w:rPr>
        <w:t xml:space="preserve">Portal Web:</w:t>
      </w:r>
      <w:r w:rsidDel="00000000" w:rsidR="00000000" w:rsidRPr="00000000">
        <w:rPr>
          <w:rtl w:val="0"/>
        </w:rPr>
        <w:t xml:space="preserve"> Enfoque en ingeniería con demostraciones interactivas de arquitectura y acceso a documentación técnica (White Papers).</w:t>
      </w:r>
    </w:p>
    <w:p w:rsidR="00000000" w:rsidDel="00000000" w:rsidP="00000000" w:rsidRDefault="00000000" w:rsidRPr="00000000" w14:paraId="0000007E">
      <w:pPr>
        <w:numPr>
          <w:ilvl w:val="0"/>
          <w:numId w:val="3"/>
        </w:numPr>
        <w:ind w:left="720" w:hanging="360"/>
      </w:pPr>
      <w:r w:rsidDel="00000000" w:rsidR="00000000" w:rsidRPr="00000000">
        <w:rPr>
          <w:b w:val="1"/>
          <w:bCs w:val="1"/>
          <w:rtl w:val="0"/>
        </w:rPr>
        <w:t xml:space="preserve">Dashboards BI:</w:t>
      </w:r>
      <w:r w:rsidDel="00000000" w:rsidR="00000000" w:rsidRPr="00000000">
        <w:rPr>
          <w:rtl w:val="0"/>
        </w:rPr>
        <w:t xml:space="preserve"> Visualizaciones con fondos Dark Slate. Uso de paleta técnica: Verde (óptimo), Cian (tendencia), Rojo Puro #EF4444 (alertas críticas).</w:t>
      </w:r>
    </w:p>
    <w:p w:rsidR="00000000" w:rsidDel="00000000" w:rsidP="00000000" w:rsidRDefault="00000000" w:rsidRPr="00000000" w14:paraId="0000007F">
      <w:pPr>
        <w:pStyle w:val="Heading2"/>
        <w:rPr/>
      </w:pPr>
      <w:bookmarkStart w:colFirst="0" w:colLast="0" w:name="_o6m5j5ofifky" w:id="24"/>
      <w:bookmarkEnd w:id="24"/>
      <w:r w:rsidDel="00000000" w:rsidR="00000000" w:rsidRPr="00000000">
        <w:rPr>
          <w:rtl w:val="0"/>
        </w:rPr>
        <w:t xml:space="preserve">9. PLANTILLAS CORPORATIVAS Y PAPELERÍA DE INGENIERÍA</w:t>
      </w:r>
    </w:p>
    <w:p w:rsidR="00000000" w:rsidDel="00000000" w:rsidP="00000000" w:rsidRDefault="00000000" w:rsidRPr="00000000" w14:paraId="00000080">
      <w:pPr>
        <w:rPr/>
      </w:pPr>
      <w:r w:rsidDel="00000000" w:rsidR="00000000" w:rsidRPr="00000000">
        <w:rPr>
          <w:rtl w:val="0"/>
        </w:rPr>
        <w:t xml:space="preserve">Se definen estándares para: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5"/>
        </w:numPr>
        <w:ind w:left="720" w:hanging="360"/>
      </w:pPr>
      <w:r w:rsidDel="00000000" w:rsidR="00000000" w:rsidRPr="00000000">
        <w:rPr>
          <w:rtl w:val="0"/>
        </w:rPr>
        <w:t xml:space="preserve">Reportes técnicos y propuestas de alta ingeniería.</w:t>
      </w:r>
    </w:p>
    <w:p w:rsidR="00000000" w:rsidDel="00000000" w:rsidP="00000000" w:rsidRDefault="00000000" w:rsidRPr="00000000" w14:paraId="00000083">
      <w:pPr>
        <w:numPr>
          <w:ilvl w:val="0"/>
          <w:numId w:val="5"/>
        </w:numPr>
        <w:ind w:left="720" w:hanging="360"/>
      </w:pPr>
      <w:r w:rsidDel="00000000" w:rsidR="00000000" w:rsidRPr="00000000">
        <w:rPr>
          <w:rtl w:val="0"/>
        </w:rPr>
        <w:t xml:space="preserve">Tarjetas de presentación inteligentes con integración NFC y QR.</w:t>
      </w:r>
    </w:p>
    <w:p w:rsidR="00000000" w:rsidDel="00000000" w:rsidP="00000000" w:rsidRDefault="00000000" w:rsidRPr="00000000" w14:paraId="00000084">
      <w:pPr>
        <w:numPr>
          <w:ilvl w:val="0"/>
          <w:numId w:val="5"/>
        </w:numPr>
        <w:ind w:left="720" w:hanging="360"/>
      </w:pPr>
      <w:r w:rsidDel="00000000" w:rsidR="00000000" w:rsidRPr="00000000">
        <w:rPr>
          <w:rtl w:val="0"/>
        </w:rPr>
        <w:t xml:space="preserve">Firmas de correo electrónico estandarizadas con estructura jerárquica clara.</w:t>
      </w:r>
    </w:p>
    <w:p w:rsidR="00000000" w:rsidDel="00000000" w:rsidP="00000000" w:rsidRDefault="00000000" w:rsidRPr="00000000" w14:paraId="00000085">
      <w:pPr>
        <w:pStyle w:val="Heading2"/>
        <w:rPr/>
      </w:pPr>
      <w:bookmarkStart w:colFirst="0" w:colLast="0" w:name="_pk8ov9fu67et" w:id="25"/>
      <w:bookmarkEnd w:id="25"/>
      <w:r w:rsidDel="00000000" w:rsidR="00000000" w:rsidRPr="00000000">
        <w:rPr>
          <w:rtl w:val="0"/>
        </w:rPr>
        <w:t xml:space="preserve">10. CONCLUSIÓN Y TRANSICIÓN AL DOCUMENTO 03</w:t>
      </w:r>
    </w:p>
    <w:p w:rsidR="00000000" w:rsidDel="00000000" w:rsidP="00000000" w:rsidRDefault="00000000" w:rsidRPr="00000000" w14:paraId="00000086">
      <w:pPr>
        <w:rPr/>
      </w:pPr>
      <w:r w:rsidDel="00000000" w:rsidR="00000000" w:rsidRPr="00000000">
        <w:rPr>
          <w:rtl w:val="0"/>
        </w:rPr>
        <w:t xml:space="preserve">La correcta implementación de este sistema de diseño asegura que Statsfirm Co. sea reconocida como un líder tecnológico global. Finalizada la definición de la identidad, se procederá al desarrollo del Documento 03, enfocado en la Organización Empresarial, Estructura de Oficinas, Modelo Agile y Dinámica de Squads de Ingeniería.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Aprobado por:</w:t>
        <w:br w:type="textWrapping"/>
      </w:r>
      <w:r w:rsidDel="00000000" w:rsidR="00000000" w:rsidRPr="00000000">
        <w:rPr>
          <w:rtl w:val="0"/>
        </w:rPr>
        <w:t xml:space="preserve">Person</w:t>
      </w:r>
      <w:r w:rsidDel="00000000" w:rsidR="00000000" w:rsidRPr="00000000">
        <w:rPr>
          <w:rtl w:val="0"/>
        </w:rPr>
        <w:br w:type="textWrapping"/>
        <w:t xml:space="preserve">Dirección Ejecutiva</w:t>
        <w:br w:type="textWrapping"/>
        <w:t xml:space="preserve">Statsfirm Co.</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ace Grotesk">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e293b"/>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Space Grotesk" w:cs="Space Grotesk" w:eastAsia="Space Grotesk" w:hAnsi="Space Grotesk"/>
      <w:b w:val="1"/>
      <w:bCs w:val="1"/>
      <w:i w:val="0"/>
      <w:iCs w:val="0"/>
      <w:color w:val="0f172a"/>
      <w:sz w:val="40"/>
      <w:szCs w:val="40"/>
    </w:rPr>
  </w:style>
  <w:style w:type="paragraph" w:styleId="Heading2">
    <w:name w:val="heading 2"/>
    <w:basedOn w:val="Normal"/>
    <w:next w:val="Normal"/>
    <w:pPr>
      <w:keepNext w:val="1"/>
      <w:keepLines w:val="1"/>
      <w:pageBreakBefore w:val="0"/>
      <w:spacing w:after="80" w:before="360" w:line="276" w:lineRule="auto"/>
    </w:pPr>
    <w:rPr>
      <w:rFonts w:ascii="Space Grotesk" w:cs="Space Grotesk" w:eastAsia="Space Grotesk" w:hAnsi="Space Grotesk"/>
      <w:b w:val="1"/>
      <w:bCs w:val="1"/>
      <w:i w:val="0"/>
      <w:iCs w:val="0"/>
      <w:color w:val="0f172a"/>
      <w:sz w:val="32"/>
      <w:szCs w:val="32"/>
    </w:rPr>
  </w:style>
  <w:style w:type="paragraph" w:styleId="Heading3">
    <w:name w:val="heading 3"/>
    <w:basedOn w:val="Normal"/>
    <w:next w:val="Normal"/>
    <w:pPr>
      <w:keepNext w:val="1"/>
      <w:keepLines w:val="1"/>
      <w:pageBreakBefore w:val="0"/>
      <w:spacing w:after="80" w:before="280" w:line="276" w:lineRule="auto"/>
    </w:pPr>
    <w:rPr>
      <w:rFonts w:ascii="Space Grotesk" w:cs="Space Grotesk" w:eastAsia="Space Grotesk" w:hAnsi="Space Grotesk"/>
      <w:b w:val="1"/>
      <w:bCs w:val="1"/>
      <w:i w:val="0"/>
      <w:iCs w:val="0"/>
      <w:color w:val="334155"/>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Space Grotesk" w:cs="Space Grotesk" w:eastAsia="Space Grotesk" w:hAnsi="Space Grotesk"/>
      <w:b w:val="1"/>
      <w:bCs w:val="1"/>
      <w:i w:val="0"/>
      <w:iCs w:val="0"/>
      <w:color w:val="0f172a"/>
      <w:sz w:val="52"/>
      <w:szCs w:val="52"/>
    </w:rPr>
  </w:style>
  <w:style w:type="paragraph" w:styleId="Subtitle">
    <w:name w:val="Subtitle"/>
    <w:basedOn w:val="Normal"/>
    <w:next w:val="Normal"/>
    <w:pPr>
      <w:keepNext w:val="1"/>
      <w:keepLines w:val="1"/>
      <w:pageBreakBefore w:val="0"/>
      <w:spacing w:after="80" w:before="360" w:line="300" w:lineRule="auto"/>
    </w:pPr>
    <w:rPr>
      <w:rFonts w:ascii="Space Grotesk" w:cs="Space Grotesk" w:eastAsia="Space Grotesk" w:hAnsi="Space Grotesk"/>
      <w:b w:val="0"/>
      <w:bCs w:val="0"/>
      <w:i w:val="0"/>
      <w:iCs w:val="0"/>
      <w:color w:val="64748b"/>
      <w:sz w:val="32"/>
      <w:szCs w:val="3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475569"/>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SpaceGrotesk-regular.ttf"/><Relationship Id="rId6"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