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6ytnnyo8jglb" w:id="0"/>
      <w:bookmarkEnd w:id="0"/>
      <w:r w:rsidDel="00000000" w:rsidR="00000000" w:rsidRPr="00000000">
        <w:rPr>
          <w:rtl w:val="0"/>
        </w:rPr>
        <w:t xml:space="preserve">STATSFIRM CO.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e19b6bg8cay" w:id="1"/>
      <w:bookmarkEnd w:id="1"/>
      <w:r w:rsidDel="00000000" w:rsidR="00000000" w:rsidRPr="00000000">
        <w:rPr>
          <w:rtl w:val="0"/>
        </w:rPr>
        <w:t xml:space="preserve">DOCUMENTO 04: GOBIERNO CORPORATIVO, POLÍTICAS DEL DATO Y SEGURIDAD DE LA INFORMACIÓN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jfo7vu74ejr" w:id="2"/>
      <w:bookmarkEnd w:id="2"/>
      <w:r w:rsidDel="00000000" w:rsidR="00000000" w:rsidRPr="00000000">
        <w:rPr>
          <w:rtl w:val="0"/>
        </w:rPr>
        <w:t xml:space="preserve">Código: SFC-CORP-GOV-004 | Versión: 1.0 | Clasificación: Confidencial / Corporativo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|---|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mntl2ou9tcrz" w:id="3"/>
      <w:bookmarkEnd w:id="3"/>
      <w:r w:rsidDel="00000000" w:rsidR="00000000" w:rsidRPr="00000000">
        <w:rPr>
          <w:rtl w:val="0"/>
        </w:rPr>
        <w:t xml:space="preserve">CONTROL DOCUMENTAL Y GESTIÓN DE VERSIONES</w:t>
      </w:r>
    </w:p>
    <w:tbl>
      <w:tblPr>
        <w:tblStyle w:val="Table1"/>
        <w:tblW w:w="21000.0" w:type="dxa"/>
        <w:jc w:val="left"/>
        <w:tblBorders>
          <w:top w:color="d1d9e6" w:space="0" w:sz="4" w:val="single"/>
          <w:left w:color="000000" w:space="0" w:sz="0" w:val="nil"/>
          <w:bottom w:color="d1d9e6" w:space="0" w:sz="4" w:val="single"/>
          <w:right w:color="000000" w:space="0" w:sz="0" w:val="nil"/>
          <w:insideH w:color="d1d9e6" w:space="0" w:sz="4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Elaborado por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Revisado por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Aprobado por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Septiembre 2026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Data Governance Council &amp; Chief Information Security Officer (CISO)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Chief Transformation Officer &amp; General Counsel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Junta Directiva / Board of Directors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Marco normativo formal de gobierno corporativo, custodia integral y ciclo de vida de los datos, seguridad de la información, ética algorítmica y cumplimiento regulatorio internacional (Fase 2).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yacqy1jo2ghr" w:id="4"/>
      <w:bookmarkEnd w:id="4"/>
      <w:r w:rsidDel="00000000" w:rsidR="00000000" w:rsidRPr="00000000">
        <w:rPr>
          <w:rtl w:val="0"/>
        </w:rPr>
        <w:t xml:space="preserve">ÍNDICE GENERAL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Declaración de Propósito y Alcance del Gobierno Corporativo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Estructura de Comités Ejecutivos y Órganos de Control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Política Maestra de Gobernanza y Custodia del Dato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Marco de Seguridad de la Información y Ciberseguridad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Privacidad, Soberanía y Cumplimiento Regulatorio Internacional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Marco de Ética y Gobernanza en Inteligencia Artificial (Responsible AI)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Gestión de Riesgos Corporativos y Continuidad del Negocio (BCP / DRP)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Auditoría Interna, Canal de Denuncias y Régimen Sancionatorio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Conclusión y Transición al Documento 05 (Catálogo de Servicios)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ualb9x8vej3" w:id="5"/>
      <w:bookmarkEnd w:id="5"/>
      <w:r w:rsidDel="00000000" w:rsidR="00000000" w:rsidRPr="00000000">
        <w:rPr>
          <w:rtl w:val="0"/>
        </w:rPr>
        <w:t xml:space="preserve">1. DECLARACIÓN DE PROPÓSITO Y ALCANCE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Statsfirm Co. asume que los datos constituyen el activo más crítico de la economía digital y, en consecuencia, deben gestionarse con los más altos estándares de rigor, seguridad y responsabilidad jurídica. Este manual establece las directrices obligatorias para la gestión, custodia, tratamiento y auditoría de activos informacionales, asegurando que cada proyecto y producto SaaS opere bajo un blindaje normativo de clase mundial.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blsqmilb6u3s" w:id="6"/>
      <w:bookmarkEnd w:id="6"/>
      <w:r w:rsidDel="00000000" w:rsidR="00000000" w:rsidRPr="00000000">
        <w:rPr>
          <w:rtl w:val="0"/>
        </w:rPr>
        <w:t xml:space="preserve">2. ESTRUCTURA DE COMITÉS EJECUTIVOS Y ÓRGANOS DE CONTROL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Junta Directiva (Board of Directors):</w:t>
      </w:r>
      <w:r w:rsidDel="00000000" w:rsidR="00000000" w:rsidRPr="00000000">
        <w:rPr>
          <w:rtl w:val="0"/>
        </w:rPr>
        <w:t xml:space="preserve"> Máximo órgano decisor en estrategia, fusiones, inversión de I+D y fiscalización. Define el apetito de riesgo y supervisa el cumplimiento de los objetivos macro.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Consejo de Gobierno del Dato (Data Governance Council):</w:t>
      </w:r>
      <w:r w:rsidDel="00000000" w:rsidR="00000000" w:rsidRPr="00000000">
        <w:rPr>
          <w:rtl w:val="0"/>
        </w:rPr>
        <w:t xml:space="preserve"> Presidido por el Chief Data Officer (CDO) e integrado por Data Stewards y líderes técnicos; define políticas de calidad, catálogo, arquitectura y soberanía de la información.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Comité de Revisión de Arquitectura (Architecture Review Board - ARB):</w:t>
      </w:r>
      <w:r w:rsidDel="00000000" w:rsidR="00000000" w:rsidRPr="00000000">
        <w:rPr>
          <w:rtl w:val="0"/>
        </w:rPr>
        <w:t xml:space="preserve"> Presidido por el CTO; valida cada diseño de software y datos frente a la doctrina técnica corporativa antes del paso a entornos de producción.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Comité de Seguridad y Cumplimiento Normativo (CISO &amp; Legal):</w:t>
      </w:r>
      <w:r w:rsidDel="00000000" w:rsidR="00000000" w:rsidRPr="00000000">
        <w:rPr>
          <w:rtl w:val="0"/>
        </w:rPr>
        <w:t xml:space="preserve"> Vela por la ciberdefensa, protección de propiedad intelectual, contratos marco y mantenimiento de certificaciones internacionales.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Comité de Ética e Inteligencia Artificial Responsable (Innova Lab):</w:t>
      </w:r>
      <w:r w:rsidDel="00000000" w:rsidR="00000000" w:rsidRPr="00000000">
        <w:rPr>
          <w:rtl w:val="0"/>
        </w:rPr>
        <w:t xml:space="preserve"> Liderado por Innova Lab; audita modelos predictivos y generativos para evitar sesgos, vulnerabilidades técnicas y usos no alineados con los valores de la compañía.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24ka08ckt1m2" w:id="7"/>
      <w:bookmarkEnd w:id="7"/>
      <w:r w:rsidDel="00000000" w:rsidR="00000000" w:rsidRPr="00000000">
        <w:rPr>
          <w:rtl w:val="0"/>
        </w:rPr>
        <w:t xml:space="preserve">3. POLÍTICA MAESTRA DE GOBERNANZA Y CUSTODIA DEL DATO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e77yo1zagk5a" w:id="8"/>
      <w:bookmarkEnd w:id="8"/>
      <w:r w:rsidDel="00000000" w:rsidR="00000000" w:rsidRPr="00000000">
        <w:rPr>
          <w:rtl w:val="0"/>
        </w:rPr>
        <w:t xml:space="preserve">3.1. Taxonomía y Niveles de Clasificación de la Información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Pública:</w:t>
      </w:r>
      <w:r w:rsidDel="00000000" w:rsidR="00000000" w:rsidRPr="00000000">
        <w:rPr>
          <w:rtl w:val="0"/>
        </w:rPr>
        <w:t xml:space="preserve"> Información institucional destinada al dominio público sin restricciones de difusión.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Interna:</w:t>
      </w:r>
      <w:r w:rsidDel="00000000" w:rsidR="00000000" w:rsidRPr="00000000">
        <w:rPr>
          <w:rtl w:val="0"/>
        </w:rPr>
        <w:t xml:space="preserve"> Documentación operativa general y comunicaciones de uso exclusivo para empleados.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Confidencial:</w:t>
      </w:r>
      <w:r w:rsidDel="00000000" w:rsidR="00000000" w:rsidRPr="00000000">
        <w:rPr>
          <w:rtl w:val="0"/>
        </w:rPr>
        <w:t xml:space="preserve"> Código fuente, diseños de arquitectura, estados financieros y acuerdos contractuales.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Crítica / Restringida:</w:t>
      </w:r>
      <w:r w:rsidDel="00000000" w:rsidR="00000000" w:rsidRPr="00000000">
        <w:rPr>
          <w:rtl w:val="0"/>
        </w:rPr>
        <w:t xml:space="preserve"> Datos transaccionales de clientes, PII (Información Personal Identificable), modelos analíticos propietarios y credenciales criptográficas.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mvtun98falcl" w:id="9"/>
      <w:bookmarkEnd w:id="9"/>
      <w:r w:rsidDel="00000000" w:rsidR="00000000" w:rsidRPr="00000000">
        <w:rPr>
          <w:rtl w:val="0"/>
        </w:rPr>
        <w:t xml:space="preserve">3.2. Modelo de Responsabilidad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Owners:</w:t>
      </w:r>
      <w:r w:rsidDel="00000000" w:rsidR="00000000" w:rsidRPr="00000000">
        <w:rPr>
          <w:rtl w:val="0"/>
        </w:rPr>
        <w:t xml:space="preserve"> Líderes de negocio con autoridad sobre dominios de datos específicos, responsables de definir su propósito y autorizar accesos.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Stewards (Administradores de Datos):</w:t>
      </w:r>
      <w:r w:rsidDel="00000000" w:rsidR="00000000" w:rsidRPr="00000000">
        <w:rPr>
          <w:rtl w:val="0"/>
        </w:rPr>
        <w:t xml:space="preserve"> Especialistas responsables de la integridad, gestión de metadatos, calidad y aplicación de reglas de negocio al dato.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Custodians (Ingenieros de Datos / DBAs):</w:t>
      </w:r>
      <w:r w:rsidDel="00000000" w:rsidR="00000000" w:rsidRPr="00000000">
        <w:rPr>
          <w:rtl w:val="0"/>
        </w:rPr>
        <w:t xml:space="preserve"> Responsables del mantenimiento de la infraestructura física, orquestación de pipelines y seguridad del almacenamiento.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ky482r2mo3kn" w:id="10"/>
      <w:bookmarkEnd w:id="10"/>
      <w:r w:rsidDel="00000000" w:rsidR="00000000" w:rsidRPr="00000000">
        <w:rPr>
          <w:rtl w:val="0"/>
        </w:rPr>
        <w:t xml:space="preserve">3.3. Estándar de Calidad del Dato (Data Quality Dimensions)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 establecen seis dimensiones críticas con métricas automatizadas en Capa 1 y Capa 2: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Exactitud:</w:t>
      </w:r>
      <w:r w:rsidDel="00000000" w:rsidR="00000000" w:rsidRPr="00000000">
        <w:rPr>
          <w:rtl w:val="0"/>
        </w:rPr>
        <w:t xml:space="preserve"> Correspondencia del dato con la realidad que describe.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Completitud:</w:t>
      </w:r>
      <w:r w:rsidDel="00000000" w:rsidR="00000000" w:rsidRPr="00000000">
        <w:rPr>
          <w:rtl w:val="0"/>
        </w:rPr>
        <w:t xml:space="preserve"> Grado en que los datos requeridos están presentes.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Consistencia:</w:t>
      </w:r>
      <w:r w:rsidDel="00000000" w:rsidR="00000000" w:rsidRPr="00000000">
        <w:rPr>
          <w:rtl w:val="0"/>
        </w:rPr>
        <w:t xml:space="preserve"> Ausencia de contradicciones entre diferentes fuentes de datos.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Oportunidad:</w:t>
      </w:r>
      <w:r w:rsidDel="00000000" w:rsidR="00000000" w:rsidRPr="00000000">
        <w:rPr>
          <w:rtl w:val="0"/>
        </w:rPr>
        <w:t xml:space="preserve"> Disponibilidad del dato en el tiempo requerido para el negocio.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Validez:</w:t>
      </w:r>
      <w:r w:rsidDel="00000000" w:rsidR="00000000" w:rsidRPr="00000000">
        <w:rPr>
          <w:rtl w:val="0"/>
        </w:rPr>
        <w:t xml:space="preserve"> Conformidad con el formato, rango y reglas de dominio definidas.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Unicidad:</w:t>
      </w:r>
      <w:r w:rsidDel="00000000" w:rsidR="00000000" w:rsidRPr="00000000">
        <w:rPr>
          <w:rtl w:val="0"/>
        </w:rPr>
        <w:t xml:space="preserve"> Ausencia de registros duplicados en los activos de información.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jh9mfirvbsq5" w:id="11"/>
      <w:bookmarkEnd w:id="11"/>
      <w:r w:rsidDel="00000000" w:rsidR="00000000" w:rsidRPr="00000000">
        <w:rPr>
          <w:rtl w:val="0"/>
        </w:rPr>
        <w:t xml:space="preserve">3.4. Gestión de Metadatos y Linaje de Datos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Es obligatorio el registro del linaje de datos (End-to-End Lineage). Se debe documentar el origen, todas las transformaciones intermedias y los destinos analíticos finales para cada campo de datos que ingrese a los ecosistemas de Statsfirm Co.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irf56n4udefj" w:id="12"/>
      <w:bookmarkEnd w:id="12"/>
      <w:r w:rsidDel="00000000" w:rsidR="00000000" w:rsidRPr="00000000">
        <w:rPr>
          <w:rtl w:val="0"/>
        </w:rPr>
        <w:t xml:space="preserve">4. MARCO DE SEGURIDAD DE LA INFORMACIÓN Y CIBERSEGURIDAD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Arquitectura Zero Trust:</w:t>
      </w:r>
      <w:r w:rsidDel="00000000" w:rsidR="00000000" w:rsidRPr="00000000">
        <w:rPr>
          <w:rtl w:val="0"/>
        </w:rPr>
        <w:t xml:space="preserve"> Implementación de un modelo de verificación continua, microsegmentación de redes y aislamiento estricto de entornos (Desarrollo, Staging y Producción).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Estándares Criptográficos:</w:t>
      </w:r>
      <w:r w:rsidDel="00000000" w:rsidR="00000000" w:rsidRPr="00000000">
        <w:rPr>
          <w:rtl w:val="0"/>
        </w:rPr>
        <w:t xml:space="preserve"> Cifrado obligatorio AES-256 para datos en reposo (con gestión centralizada mediante KMS) y TLS 1.3 para datos en tránsito utilizando certificados mutuos (mTLS).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Identidades (IAM):</w:t>
      </w:r>
      <w:r w:rsidDel="00000000" w:rsidR="00000000" w:rsidRPr="00000000">
        <w:rPr>
          <w:rtl w:val="0"/>
        </w:rPr>
        <w:t xml:space="preserve"> Control de acceso granular basado en roles (RBAC) y atributos (ABAC), exigiendo autenticación multifactor (MFA) para todo acceso a la red corporativa.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Protección y Monitoreo:</w:t>
      </w:r>
      <w:r w:rsidDel="00000000" w:rsidR="00000000" w:rsidRPr="00000000">
        <w:rPr>
          <w:rtl w:val="0"/>
        </w:rPr>
        <w:t xml:space="preserve"> Despliegue de herramientas de Prevención de Fuga de Datos (DLP) y sistemas avanzados de monitoreo de amenazas en tiempo real.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ifsxveavm38i" w:id="13"/>
      <w:bookmarkEnd w:id="13"/>
      <w:r w:rsidDel="00000000" w:rsidR="00000000" w:rsidRPr="00000000">
        <w:rPr>
          <w:rtl w:val="0"/>
        </w:rPr>
        <w:t xml:space="preserve">5. PRIVACIDAD, SOBERANÍA Y CUMPLIMIENTO REGULATORIO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Marcos Normativos:</w:t>
      </w:r>
      <w:r w:rsidDel="00000000" w:rsidR="00000000" w:rsidRPr="00000000">
        <w:rPr>
          <w:rtl w:val="0"/>
        </w:rPr>
        <w:t xml:space="preserve"> Adecuación estricta a GDPR (Europa), LGPD (Latinoamérica), así como regulaciones sectoriales bancarias y de salud.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Certificaciones:</w:t>
      </w:r>
      <w:r w:rsidDel="00000000" w:rsidR="00000000" w:rsidRPr="00000000">
        <w:rPr>
          <w:rtl w:val="0"/>
        </w:rPr>
        <w:t xml:space="preserve"> Cumplimiento de estándares ISO/IEC 27001 y auditorías SOC 2 Type II para garantizar la seguridad de los servicios SaaS.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Tratamiento de Datos:</w:t>
      </w:r>
      <w:r w:rsidDel="00000000" w:rsidR="00000000" w:rsidRPr="00000000">
        <w:rPr>
          <w:rtl w:val="0"/>
        </w:rPr>
        <w:t xml:space="preserve"> Uso de Acuerdos de Procesamiento de Datos (DPA) estándar. Aplicación de protocolos de anonimización y seudonimización en entornos de pruebas de forma predeterminada.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oopkxz4vn8rf" w:id="14"/>
      <w:bookmarkEnd w:id="14"/>
      <w:r w:rsidDel="00000000" w:rsidR="00000000" w:rsidRPr="00000000">
        <w:rPr>
          <w:rtl w:val="0"/>
        </w:rPr>
        <w:t xml:space="preserve">6. MARCO DE ÉTICA Y GOBERNANZA EN INTELIGENCIA ARTIFICIAL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Responsible AI:</w:t>
      </w:r>
      <w:r w:rsidDel="00000000" w:rsidR="00000000" w:rsidRPr="00000000">
        <w:rPr>
          <w:rtl w:val="0"/>
        </w:rPr>
        <w:t xml:space="preserve"> Requisito de explicabilidad algorítmica (utilizando métodos como SHAP o LIME) para todos los modelos en producción.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Mitigación de Sesgos:</w:t>
      </w:r>
      <w:r w:rsidDel="00000000" w:rsidR="00000000" w:rsidRPr="00000000">
        <w:rPr>
          <w:rtl w:val="0"/>
        </w:rPr>
        <w:t xml:space="preserve"> Análisis obligatorio de disparidad de impacto (Fairness) para detectar y neutralizar sesgos estadísticos en los datasets de entrenamiento.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Gobernanza MLOps:</w:t>
      </w:r>
      <w:r w:rsidDel="00000000" w:rsidR="00000000" w:rsidRPr="00000000">
        <w:rPr>
          <w:rtl w:val="0"/>
        </w:rPr>
        <w:t xml:space="preserve"> Registro inmutable en Feature Store y Model Registry. Monitorización activa de Data Drift (desviación de datos) y Concept Drift para procesos de reentrenamiento gobernado.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ayzjfj8o5uci" w:id="15"/>
      <w:bookmarkEnd w:id="15"/>
      <w:r w:rsidDel="00000000" w:rsidR="00000000" w:rsidRPr="00000000">
        <w:rPr>
          <w:rtl w:val="0"/>
        </w:rPr>
        <w:t xml:space="preserve">7. GESTIÓN DE RIESGOS CORPORATIVOS Y CONTINUIDAD (BCP / DRP)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Se mantiene una matriz de riesgos actualizada para mitigar amenazas de disponibilidad, ciberataques, pérdida de datos y desastres naturales. Los parámetros de recuperación para plataformas críticas son: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 Time Objective (RTO):</w:t>
      </w:r>
      <w:r w:rsidDel="00000000" w:rsidR="00000000" w:rsidRPr="00000000">
        <w:rPr>
          <w:rtl w:val="0"/>
        </w:rPr>
        <w:t xml:space="preserve"> Menor a 2 horas.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 Point Objective (RPO):</w:t>
      </w:r>
      <w:r w:rsidDel="00000000" w:rsidR="00000000" w:rsidRPr="00000000">
        <w:rPr>
          <w:rtl w:val="0"/>
        </w:rPr>
        <w:t xml:space="preserve"> Menor a 15 minutos.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w2p7km6und8b" w:id="16"/>
      <w:bookmarkEnd w:id="16"/>
      <w:r w:rsidDel="00000000" w:rsidR="00000000" w:rsidRPr="00000000">
        <w:rPr>
          <w:rtl w:val="0"/>
        </w:rPr>
        <w:t xml:space="preserve">8. AUDITORÍA INTERNA, CANAL DE DENUNCIAS Y SANCIONES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Ciclos de Auditoría:</w:t>
      </w:r>
      <w:r w:rsidDel="00000000" w:rsidR="00000000" w:rsidRPr="00000000">
        <w:rPr>
          <w:rtl w:val="0"/>
        </w:rPr>
        <w:t xml:space="preserve"> Realización de auditorías internas trimestrales y auditorías externas anuales para validar la adherencia a este marco normativo.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Whistleblowing:</w:t>
      </w:r>
      <w:r w:rsidDel="00000000" w:rsidR="00000000" w:rsidRPr="00000000">
        <w:rPr>
          <w:rtl w:val="0"/>
        </w:rPr>
        <w:t xml:space="preserve"> Disponibilidad de un canal anónimo y seguro para la denuncia de faltas éticas o brechas de seguridad.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Régimen Sancionatorio:</w:t>
      </w:r>
      <w:r w:rsidDel="00000000" w:rsidR="00000000" w:rsidRPr="00000000">
        <w:rPr>
          <w:rtl w:val="0"/>
        </w:rPr>
        <w:t xml:space="preserve"> Aplicación de tolerancia cero frente a la negligencia en seguridad o violación de acuerdos de confidencialidad, sujeto a las medidas disciplinarias corporativas y legales vigentes.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kyep7nxgy9eb" w:id="17"/>
      <w:bookmarkEnd w:id="17"/>
      <w:r w:rsidDel="00000000" w:rsidR="00000000" w:rsidRPr="00000000">
        <w:rPr>
          <w:rtl w:val="0"/>
        </w:rPr>
        <w:t xml:space="preserve">9. CONCLUSIÓN Y TRANSICIÓN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Este marco de gobierno asegura que la infraestructura y procesos de Statsfirm Co. operen bajo una cultura de responsabilidad y blindaje técnico. Los principios aquí descritos actúan como el puente articulador hacia el Documento 05 (Catálogo de Servicios y Portafolio Tecnológico), donde se detallan las soluciones específicas habilitadas por este ecosistema gobernado.</w:t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3333"/>
        <w:sz w:val="24"/>
        <w:szCs w:val="24"/>
        <w:lang w:val="es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a237e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283593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3949a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a237e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237e"/>
        <w:sz w:val="22"/>
        <w:szCs w:val="22"/>
      </w:rPr>
      <w:tcPr>
        <w:shd w:fill="f0f2f5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