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9dlc7o1iicdf" w:id="0"/>
      <w:bookmarkEnd w:id="0"/>
      <w:r w:rsidDel="00000000" w:rsidR="00000000" w:rsidRPr="00000000">
        <w:rPr>
          <w:rtl w:val="0"/>
        </w:rPr>
        <w:t xml:space="preserve">STATSFIRM CO.</w:t>
      </w:r>
    </w:p>
    <w:p w:rsidR="00000000" w:rsidDel="00000000" w:rsidP="00000000" w:rsidRDefault="00000000" w:rsidRPr="00000000" w14:paraId="00000002">
      <w:pPr>
        <w:pStyle w:val="Heading1"/>
        <w:rPr/>
      </w:pPr>
      <w:bookmarkStart w:colFirst="0" w:colLast="0" w:name="_ujpcqwphfi01" w:id="1"/>
      <w:bookmarkEnd w:id="1"/>
      <w:r w:rsidDel="00000000" w:rsidR="00000000" w:rsidRPr="00000000">
        <w:rPr>
          <w:rtl w:val="0"/>
        </w:rPr>
        <w:t xml:space="preserve">DOCUMENTO 10: ECOSISTEMA DIGITAL Y ESPECIFICACIÓN DE LA APLICACIÓN DEL CLIENTE (WEB &amp; MOBILE)</w:t>
      </w:r>
    </w:p>
    <w:p w:rsidR="00000000" w:rsidDel="00000000" w:rsidP="00000000" w:rsidRDefault="00000000" w:rsidRPr="00000000" w14:paraId="00000003">
      <w:pPr>
        <w:pStyle w:val="Heading2"/>
        <w:rPr/>
      </w:pPr>
      <w:bookmarkStart w:colFirst="0" w:colLast="0" w:name="_54deg354yr59" w:id="2"/>
      <w:bookmarkEnd w:id="2"/>
      <w:r w:rsidDel="00000000" w:rsidR="00000000" w:rsidRPr="00000000">
        <w:rPr>
          <w:rtl w:val="0"/>
        </w:rPr>
        <w:t xml:space="preserve">Código: SFC-CORP-APP-010 | Versión: 1.0 | Clasificación: Confidencial / Corporativo y Producto</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y4gf296ir0wn" w:id="3"/>
      <w:bookmarkEnd w:id="3"/>
      <w:r w:rsidDel="00000000" w:rsidR="00000000" w:rsidRPr="00000000">
        <w:rPr>
          <w:rtl w:val="0"/>
        </w:rPr>
        <w:t xml:space="preserve">CONTROL DOCUMENTAL Y GESTIÓN DE VERSIONES</w:t>
      </w:r>
    </w:p>
    <w:tbl>
      <w:tblPr>
        <w:tblStyle w:val="Table1"/>
        <w:tblW w:w="21000.0" w:type="dxa"/>
        <w:jc w:val="left"/>
        <w:tblBorders>
          <w:top w:color="e2e8f0" w:space="0" w:sz="8" w:val="single"/>
          <w:left w:color="000000" w:space="0" w:sz="0" w:val="nil"/>
          <w:bottom w:color="e2e8f0" w:space="0" w:sz="8" w:val="single"/>
          <w:right w:color="000000" w:space="0" w:sz="0" w:val="nil"/>
          <w:insideH w:color="f1f5f9" w:space="0" w:sz="8" w:val="single"/>
          <w:insideV w:color="f1f5f9" w:space="0" w:sz="8" w:val="single"/>
        </w:tblBorders>
        <w:tblLayout w:type="fixed"/>
        <w:tblLook w:val="062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blHeader w:val="1"/>
        </w:trPr>
        <w:tc>
          <w:tcPr/>
          <w:p w:rsidR="00000000" w:rsidDel="00000000" w:rsidP="00000000" w:rsidRDefault="00000000" w:rsidRPr="00000000" w14:paraId="00000006">
            <w:pPr>
              <w:rPr/>
            </w:pPr>
            <w:r w:rsidDel="00000000" w:rsidR="00000000" w:rsidRPr="00000000">
              <w:rPr>
                <w:rtl w:val="0"/>
              </w:rPr>
              <w:t xml:space="preserve">Versión</w:t>
            </w:r>
          </w:p>
        </w:tc>
        <w:tc>
          <w:tcPr/>
          <w:p w:rsidR="00000000" w:rsidDel="00000000" w:rsidP="00000000" w:rsidRDefault="00000000" w:rsidRPr="00000000" w14:paraId="00000007">
            <w:pPr>
              <w:rPr/>
            </w:pPr>
            <w:r w:rsidDel="00000000" w:rsidR="00000000" w:rsidRPr="00000000">
              <w:rPr>
                <w:rtl w:val="0"/>
              </w:rPr>
              <w:t xml:space="preserve">Fecha</w:t>
            </w:r>
          </w:p>
        </w:tc>
        <w:tc>
          <w:tcPr/>
          <w:p w:rsidR="00000000" w:rsidDel="00000000" w:rsidP="00000000" w:rsidRDefault="00000000" w:rsidRPr="00000000" w14:paraId="00000008">
            <w:pPr>
              <w:rPr/>
            </w:pPr>
            <w:r w:rsidDel="00000000" w:rsidR="00000000" w:rsidRPr="00000000">
              <w:rPr>
                <w:rtl w:val="0"/>
              </w:rPr>
              <w:t xml:space="preserve">Elaborado por</w:t>
            </w:r>
          </w:p>
        </w:tc>
        <w:tc>
          <w:tcPr/>
          <w:p w:rsidR="00000000" w:rsidDel="00000000" w:rsidP="00000000" w:rsidRDefault="00000000" w:rsidRPr="00000000" w14:paraId="00000009">
            <w:pPr>
              <w:rPr/>
            </w:pPr>
            <w:r w:rsidDel="00000000" w:rsidR="00000000" w:rsidRPr="00000000">
              <w:rPr>
                <w:rtl w:val="0"/>
              </w:rPr>
              <w:t xml:space="preserve">Revisado por</w:t>
            </w:r>
          </w:p>
        </w:tc>
        <w:tc>
          <w:tcPr/>
          <w:p w:rsidR="00000000" w:rsidDel="00000000" w:rsidP="00000000" w:rsidRDefault="00000000" w:rsidRPr="00000000" w14:paraId="0000000A">
            <w:pPr>
              <w:rPr/>
            </w:pPr>
            <w:r w:rsidDel="00000000" w:rsidR="00000000" w:rsidRPr="00000000">
              <w:rPr>
                <w:rtl w:val="0"/>
              </w:rPr>
              <w:t xml:space="preserve">Aprobado por</w:t>
            </w:r>
          </w:p>
        </w:tc>
        <w:tc>
          <w:tcPr/>
          <w:p w:rsidR="00000000" w:rsidDel="00000000" w:rsidP="00000000" w:rsidRDefault="00000000" w:rsidRPr="00000000" w14:paraId="0000000B">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1.0</w:t>
            </w:r>
          </w:p>
        </w:tc>
        <w:tc>
          <w:tcPr/>
          <w:p w:rsidR="00000000" w:rsidDel="00000000" w:rsidP="00000000" w:rsidRDefault="00000000" w:rsidRPr="00000000" w14:paraId="0000000D">
            <w:pPr>
              <w:rPr/>
            </w:pPr>
            <w:r w:rsidDel="00000000" w:rsidR="00000000" w:rsidRPr="00000000">
              <w:rPr>
                <w:rtl w:val="0"/>
              </w:rPr>
              <w:t xml:space="preserve">Septiembre 2026</w:t>
            </w:r>
          </w:p>
        </w:tc>
        <w:tc>
          <w:tcPr/>
          <w:p w:rsidR="00000000" w:rsidDel="00000000" w:rsidP="00000000" w:rsidRDefault="00000000" w:rsidRPr="00000000" w14:paraId="0000000E">
            <w:pPr>
              <w:rPr/>
            </w:pPr>
            <w:r w:rsidDel="00000000" w:rsidR="00000000" w:rsidRPr="00000000">
              <w:rPr>
                <w:rtl w:val="0"/>
              </w:rPr>
              <w:t xml:space="preserve">Digital Experience &amp; Mobile Architecture Group</w:t>
            </w:r>
          </w:p>
        </w:tc>
        <w:tc>
          <w:tcPr/>
          <w:p w:rsidR="00000000" w:rsidDel="00000000" w:rsidP="00000000" w:rsidRDefault="00000000" w:rsidRPr="00000000" w14:paraId="0000000F">
            <w:pPr>
              <w:rPr/>
            </w:pPr>
            <w:r w:rsidDel="00000000" w:rsidR="00000000" w:rsidRPr="00000000">
              <w:rPr>
                <w:rtl w:val="0"/>
              </w:rPr>
              <w:t xml:space="preserve">Chief Technology Officer &amp; Head of Product Design</w:t>
            </w:r>
          </w:p>
        </w:tc>
        <w:tc>
          <w:tcPr/>
          <w:p w:rsidR="00000000" w:rsidDel="00000000" w:rsidP="00000000" w:rsidRDefault="00000000" w:rsidRPr="00000000" w14:paraId="00000010">
            <w:pPr>
              <w:rPr/>
            </w:pPr>
            <w:r w:rsidDel="00000000" w:rsidR="00000000" w:rsidRPr="00000000">
              <w:rPr>
                <w:rtl w:val="0"/>
              </w:rPr>
              <w:t xml:space="preserve">Junta Directiva / Board of Directors</w:t>
            </w:r>
          </w:p>
        </w:tc>
        <w:tc>
          <w:tcPr/>
          <w:p w:rsidR="00000000" w:rsidDel="00000000" w:rsidP="00000000" w:rsidRDefault="00000000" w:rsidRPr="00000000" w14:paraId="00000011">
            <w:pPr>
              <w:rPr/>
            </w:pPr>
            <w:r w:rsidDel="00000000" w:rsidR="00000000" w:rsidRPr="00000000">
              <w:rPr>
                <w:rtl w:val="0"/>
              </w:rPr>
              <w:t xml:space="preserve">Especificación funcional, arquitectónica y técnica de la App Móvil y Portal Web (Fase 8).</w:t>
            </w:r>
          </w:p>
        </w:tc>
      </w:tr>
    </w:tbl>
    <w:p w:rsidR="00000000" w:rsidDel="00000000" w:rsidP="00000000" w:rsidRDefault="00000000" w:rsidRPr="00000000" w14:paraId="00000012">
      <w:pPr>
        <w:pStyle w:val="Heading2"/>
        <w:rPr/>
      </w:pPr>
      <w:bookmarkStart w:colFirst="0" w:colLast="0" w:name="_v7dmp06cjz93" w:id="4"/>
      <w:bookmarkEnd w:id="4"/>
      <w:r w:rsidDel="00000000" w:rsidR="00000000" w:rsidRPr="00000000">
        <w:rPr>
          <w:rtl w:val="0"/>
        </w:rPr>
        <w:t xml:space="preserve">ÍNDICE GENERAL DEL DOCUMENTO 10</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Resumen Ejecutivo y Visión del Canal Digital</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Propósito y Filosofía: La App como Ecosistema Operativo del Cliente</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Arquitectura Técnica de la Plataforma Digital (Web &amp; Mobile)</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Especificación Funcional de Módulos de la Aplicación</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Arquitectura de Información y Diseño de Interfaz (UI/UX)</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Seguridad, Privacidad y Cifrado en Dispositivos Móviles</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Hoja de Ruta de Lanzamiento y Evolución Digital</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Epílogo: El Ecosistema Documental Completo de Statsfirm Co.</w:t>
      </w:r>
    </w:p>
    <w:p w:rsidR="00000000" w:rsidDel="00000000" w:rsidP="00000000" w:rsidRDefault="00000000" w:rsidRPr="00000000" w14:paraId="0000001B">
      <w:pPr>
        <w:pStyle w:val="Heading2"/>
        <w:rPr/>
      </w:pPr>
      <w:bookmarkStart w:colFirst="0" w:colLast="0" w:name="_qsb8a8u66p8" w:id="5"/>
      <w:bookmarkEnd w:id="5"/>
      <w:r w:rsidDel="00000000" w:rsidR="00000000" w:rsidRPr="00000000">
        <w:rPr>
          <w:rtl w:val="0"/>
        </w:rPr>
        <w:t xml:space="preserve">1. RESUMEN EJECUTIVO Y VISIÓN DEL CANAL DIGITAL</w:t>
      </w:r>
    </w:p>
    <w:p w:rsidR="00000000" w:rsidDel="00000000" w:rsidP="00000000" w:rsidRDefault="00000000" w:rsidRPr="00000000" w14:paraId="0000001C">
      <w:pPr>
        <w:rPr/>
      </w:pPr>
      <w:r w:rsidDel="00000000" w:rsidR="00000000" w:rsidRPr="00000000">
        <w:rPr>
          <w:rtl w:val="0"/>
        </w:rPr>
        <w:t xml:space="preserve">En Statsfirm Co., la aplicación móvil y el portal web no constituyen un producto empaquetado ni una consultoría accesoria; representan el sistema nervioso central a través del cual los clientes interactúan, auditan, colaboran y validan cada paso del ciclo de transformación empresarial. Este canal digital es el punto de convergencia donde la estrategia de datos se vuelve tangible y accionable para los tomadores de decisiones.</w:t>
      </w:r>
    </w:p>
    <w:p w:rsidR="00000000" w:rsidDel="00000000" w:rsidP="00000000" w:rsidRDefault="00000000" w:rsidRPr="00000000" w14:paraId="0000001D">
      <w:pPr>
        <w:pStyle w:val="Heading2"/>
        <w:rPr/>
      </w:pPr>
      <w:bookmarkStart w:colFirst="0" w:colLast="0" w:name="_5s7z8msbxssg" w:id="6"/>
      <w:bookmarkEnd w:id="6"/>
      <w:r w:rsidDel="00000000" w:rsidR="00000000" w:rsidRPr="00000000">
        <w:rPr>
          <w:rtl w:val="0"/>
        </w:rPr>
        <w:t xml:space="preserve">2. FILOSOFÍA: EL ECOSISTEMA OPERATIVO DEL CLIENTE</w:t>
      </w:r>
    </w:p>
    <w:p w:rsidR="00000000" w:rsidDel="00000000" w:rsidP="00000000" w:rsidRDefault="00000000" w:rsidRPr="00000000" w14:paraId="0000001E">
      <w:pPr>
        <w:rPr/>
      </w:pPr>
      <w:r w:rsidDel="00000000" w:rsidR="00000000" w:rsidRPr="00000000">
        <w:rPr>
          <w:rtl w:val="0"/>
        </w:rPr>
        <w:t xml:space="preserve">La plataforma ha sido concebida bajo dos pilares fundamentales: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6"/>
        </w:numPr>
        <w:ind w:left="720" w:hanging="360"/>
      </w:pPr>
      <w:r w:rsidDel="00000000" w:rsidR="00000000" w:rsidRPr="00000000">
        <w:rPr>
          <w:b w:val="1"/>
          <w:bCs w:val="1"/>
          <w:rtl w:val="0"/>
        </w:rPr>
        <w:t xml:space="preserve">Consola de Mando Integral:</w:t>
      </w:r>
      <w:r w:rsidDel="00000000" w:rsidR="00000000" w:rsidRPr="00000000">
        <w:rPr>
          <w:rtl w:val="0"/>
        </w:rPr>
        <w:t xml:space="preserve"> La aplicación actúa como una herramienta ejecutiva y técnica de alto nivel, permitiendo la gestión centralizada de toda la relación comercial y operativa con Statsfirm Co.</w:t>
      </w:r>
    </w:p>
    <w:p w:rsidR="00000000" w:rsidDel="00000000" w:rsidP="00000000" w:rsidRDefault="00000000" w:rsidRPr="00000000" w14:paraId="00000021">
      <w:pPr>
        <w:numPr>
          <w:ilvl w:val="0"/>
          <w:numId w:val="6"/>
        </w:numPr>
        <w:ind w:left="720" w:hanging="360"/>
      </w:pPr>
      <w:r w:rsidDel="00000000" w:rsidR="00000000" w:rsidRPr="00000000">
        <w:rPr>
          <w:b w:val="1"/>
          <w:bCs w:val="1"/>
          <w:rtl w:val="0"/>
        </w:rPr>
        <w:t xml:space="preserve">Transparencia Radical:</w:t>
      </w:r>
      <w:r w:rsidDel="00000000" w:rsidR="00000000" w:rsidRPr="00000000">
        <w:rPr>
          <w:rtl w:val="0"/>
        </w:rPr>
        <w:t xml:space="preserve"> El cliente mantiene visibilidad total y en tiempo real sobre el avance de los Sprints asignados a su Squad, la salud técnica de sus pipelines de datos y las métricas financieras vinculadas al proyecto, eliminando las cajas negras tradicionales de la consultoría técnica.</w:t>
      </w:r>
    </w:p>
    <w:p w:rsidR="00000000" w:rsidDel="00000000" w:rsidP="00000000" w:rsidRDefault="00000000" w:rsidRPr="00000000" w14:paraId="00000022">
      <w:pPr>
        <w:pStyle w:val="Heading2"/>
        <w:rPr/>
      </w:pPr>
      <w:bookmarkStart w:colFirst="0" w:colLast="0" w:name="_n1p5m45azslp" w:id="7"/>
      <w:bookmarkEnd w:id="7"/>
      <w:r w:rsidDel="00000000" w:rsidR="00000000" w:rsidRPr="00000000">
        <w:rPr>
          <w:rtl w:val="0"/>
        </w:rPr>
        <w:t xml:space="preserve">3. ARQUITECTURA TÉCNICA DE LA PLATAFORMA DIGITAL</w:t>
      </w:r>
    </w:p>
    <w:p w:rsidR="00000000" w:rsidDel="00000000" w:rsidP="00000000" w:rsidRDefault="00000000" w:rsidRPr="00000000" w14:paraId="00000023">
      <w:pPr>
        <w:pStyle w:val="Heading3"/>
        <w:rPr/>
      </w:pPr>
      <w:bookmarkStart w:colFirst="0" w:colLast="0" w:name="_coz99w5108tb" w:id="8"/>
      <w:bookmarkEnd w:id="8"/>
      <w:r w:rsidDel="00000000" w:rsidR="00000000" w:rsidRPr="00000000">
        <w:rPr>
          <w:rtl w:val="0"/>
        </w:rPr>
        <w:t xml:space="preserve">3.1. Arquitectura Frontend (React Native, Flutter, Next.js)</w:t>
      </w:r>
    </w:p>
    <w:p w:rsidR="00000000" w:rsidDel="00000000" w:rsidP="00000000" w:rsidRDefault="00000000" w:rsidRPr="00000000" w14:paraId="00000024">
      <w:pPr>
        <w:rPr/>
      </w:pPr>
      <w:r w:rsidDel="00000000" w:rsidR="00000000" w:rsidRPr="00000000">
        <w:rPr>
          <w:rtl w:val="0"/>
        </w:rPr>
        <w:t xml:space="preserve">El ecosistema digital emplea una estrategia multiplataforma avanzada: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5"/>
        </w:numPr>
        <w:ind w:left="720" w:hanging="360"/>
      </w:pPr>
      <w:r w:rsidDel="00000000" w:rsidR="00000000" w:rsidRPr="00000000">
        <w:rPr>
          <w:b w:val="1"/>
          <w:bCs w:val="1"/>
          <w:rtl w:val="0"/>
        </w:rPr>
        <w:t xml:space="preserve">Mobile:</w:t>
      </w:r>
      <w:r w:rsidDel="00000000" w:rsidR="00000000" w:rsidRPr="00000000">
        <w:rPr>
          <w:rtl w:val="0"/>
        </w:rPr>
        <w:t xml:space="preserve"> Desarrollo en React Native / Flutter para garantizar un rendimiento nativo en dispositivos iOS y Android con una base de código eficiente.</w:t>
      </w:r>
    </w:p>
    <w:p w:rsidR="00000000" w:rsidDel="00000000" w:rsidP="00000000" w:rsidRDefault="00000000" w:rsidRPr="00000000" w14:paraId="00000027">
      <w:pPr>
        <w:numPr>
          <w:ilvl w:val="0"/>
          <w:numId w:val="5"/>
        </w:numPr>
        <w:ind w:left="720" w:hanging="360"/>
      </w:pPr>
      <w:r w:rsidDel="00000000" w:rsidR="00000000" w:rsidRPr="00000000">
        <w:rPr>
          <w:b w:val="1"/>
          <w:bCs w:val="1"/>
          <w:rtl w:val="0"/>
        </w:rPr>
        <w:t xml:space="preserve">Web:</w:t>
      </w:r>
      <w:r w:rsidDel="00000000" w:rsidR="00000000" w:rsidRPr="00000000">
        <w:rPr>
          <w:rtl w:val="0"/>
        </w:rPr>
        <w:t xml:space="preserve"> Portal web progresivo construido sobre Next.js, utilizando TailwindCSS y Radix UI para asegurar una interfaz altamente responsiva y accesible.</w:t>
      </w:r>
    </w:p>
    <w:p w:rsidR="00000000" w:rsidDel="00000000" w:rsidP="00000000" w:rsidRDefault="00000000" w:rsidRPr="00000000" w14:paraId="00000028">
      <w:pPr>
        <w:pStyle w:val="Heading3"/>
        <w:rPr/>
      </w:pPr>
      <w:bookmarkStart w:colFirst="0" w:colLast="0" w:name="_d8bkkzad2895" w:id="9"/>
      <w:bookmarkEnd w:id="9"/>
      <w:r w:rsidDel="00000000" w:rsidR="00000000" w:rsidRPr="00000000">
        <w:rPr>
          <w:rtl w:val="0"/>
        </w:rPr>
        <w:t xml:space="preserve">3.2. Capa Backend for Frontend (BFF) y Microservicios</w:t>
      </w:r>
    </w:p>
    <w:p w:rsidR="00000000" w:rsidDel="00000000" w:rsidP="00000000" w:rsidRDefault="00000000" w:rsidRPr="00000000" w14:paraId="00000029">
      <w:pPr>
        <w:rPr/>
      </w:pPr>
      <w:r w:rsidDel="00000000" w:rsidR="00000000" w:rsidRPr="00000000">
        <w:rPr>
          <w:rtl w:val="0"/>
        </w:rPr>
        <w:t xml:space="preserve">Se implementa un patrón Backend for Frontend (BFF) desarrollado en Node.js y Go. El uso de GraphQL permite una orquestación precisa de datos, optimizando el consumo de red en entornos móviles y reduciendo la latencia en la recuperación de información compleja.</w:t>
      </w:r>
    </w:p>
    <w:p w:rsidR="00000000" w:rsidDel="00000000" w:rsidP="00000000" w:rsidRDefault="00000000" w:rsidRPr="00000000" w14:paraId="0000002A">
      <w:pPr>
        <w:pStyle w:val="Heading3"/>
        <w:rPr/>
      </w:pPr>
      <w:bookmarkStart w:colFirst="0" w:colLast="0" w:name="_37f6jfn5t1iu" w:id="10"/>
      <w:bookmarkEnd w:id="10"/>
      <w:r w:rsidDel="00000000" w:rsidR="00000000" w:rsidRPr="00000000">
        <w:rPr>
          <w:rtl w:val="0"/>
        </w:rPr>
        <w:t xml:space="preserve">3.3. Integración y Autenticación</w:t>
      </w:r>
    </w:p>
    <w:p w:rsidR="00000000" w:rsidDel="00000000" w:rsidP="00000000" w:rsidRDefault="00000000" w:rsidRPr="00000000" w14:paraId="0000002B">
      <w:pPr>
        <w:rPr/>
      </w:pPr>
      <w:r w:rsidDel="00000000" w:rsidR="00000000" w:rsidRPr="00000000">
        <w:rPr>
          <w:rtl w:val="0"/>
        </w:rPr>
        <w:t xml:space="preserve">La infraestructura se integra con el Core de Datos y servicios de Business Intelligence mediante pipelines seguros. La seguridad de acceso se gestiona vía OAuth 2.0 y OpenID Connect, soportando Single Sign-On (SSO) corporativo y autenticación multifactor (MFA) basada en estándares FIDO2 y biometría.</w:t>
      </w:r>
    </w:p>
    <w:p w:rsidR="00000000" w:rsidDel="00000000" w:rsidP="00000000" w:rsidRDefault="00000000" w:rsidRPr="00000000" w14:paraId="0000002C">
      <w:pPr>
        <w:pStyle w:val="Heading2"/>
        <w:rPr/>
      </w:pPr>
      <w:bookmarkStart w:colFirst="0" w:colLast="0" w:name="_uhsk9jd3uz1p" w:id="11"/>
      <w:bookmarkEnd w:id="11"/>
      <w:r w:rsidDel="00000000" w:rsidR="00000000" w:rsidRPr="00000000">
        <w:rPr>
          <w:rtl w:val="0"/>
        </w:rPr>
        <w:t xml:space="preserve">4. ESPECIFICACIÓN FUNCIONAL DE MÓDULOS DE LA APLICACIÓN</w:t>
      </w:r>
    </w:p>
    <w:p w:rsidR="00000000" w:rsidDel="00000000" w:rsidP="00000000" w:rsidRDefault="00000000" w:rsidRPr="00000000" w14:paraId="0000002D">
      <w:pPr>
        <w:pStyle w:val="Heading3"/>
        <w:rPr/>
      </w:pPr>
      <w:bookmarkStart w:colFirst="0" w:colLast="0" w:name="_6o8ob5r7rwps" w:id="12"/>
      <w:bookmarkEnd w:id="12"/>
      <w:r w:rsidDel="00000000" w:rsidR="00000000" w:rsidRPr="00000000">
        <w:rPr>
          <w:rtl w:val="0"/>
        </w:rPr>
        <w:t xml:space="preserve">4.1. Módulo 1: Diagnóstico Express y Contratación Modular</w:t>
      </w:r>
    </w:p>
    <w:p w:rsidR="00000000" w:rsidDel="00000000" w:rsidP="00000000" w:rsidRDefault="00000000" w:rsidRPr="00000000" w14:paraId="0000002E">
      <w:pPr>
        <w:rPr/>
      </w:pPr>
      <w:r w:rsidDel="00000000" w:rsidR="00000000" w:rsidRPr="00000000">
        <w:rPr>
          <w:rtl w:val="0"/>
        </w:rPr>
        <w:t xml:space="preserve">Proporciona un cuestionario interactivo para evaluar la madurez analítica de la organización. Calcula automáticamente el índice de preparación (Readiness Index), permite la selección modular de servicios adicionales y genera una propuesta económica preliminar de forma instantánea.</w:t>
      </w:r>
    </w:p>
    <w:p w:rsidR="00000000" w:rsidDel="00000000" w:rsidP="00000000" w:rsidRDefault="00000000" w:rsidRPr="00000000" w14:paraId="0000002F">
      <w:pPr>
        <w:pStyle w:val="Heading3"/>
        <w:rPr/>
      </w:pPr>
      <w:bookmarkStart w:colFirst="0" w:colLast="0" w:name="_ef3gn1p58kao" w:id="13"/>
      <w:bookmarkEnd w:id="13"/>
      <w:r w:rsidDel="00000000" w:rsidR="00000000" w:rsidRPr="00000000">
        <w:rPr>
          <w:rtl w:val="0"/>
        </w:rPr>
        <w:t xml:space="preserve">4.2. Módulo 2: Agendamiento y Comunicación Directa con el Squad</w:t>
      </w:r>
    </w:p>
    <w:p w:rsidR="00000000" w:rsidDel="00000000" w:rsidP="00000000" w:rsidRDefault="00000000" w:rsidRPr="00000000" w14:paraId="00000030">
      <w:pPr>
        <w:rPr/>
      </w:pPr>
      <w:r w:rsidDel="00000000" w:rsidR="00000000" w:rsidRPr="00000000">
        <w:rPr>
          <w:rtl w:val="0"/>
        </w:rPr>
        <w:t xml:space="preserve">Facilita la sincronización con los calendarios de los líderes del Squad (Jefe de Procesos, Revisor Agile). Incluye canales de chat cifrados de extremo a extremo y acceso a salas de videoconferencia seguras integradas.</w:t>
      </w:r>
    </w:p>
    <w:p w:rsidR="00000000" w:rsidDel="00000000" w:rsidP="00000000" w:rsidRDefault="00000000" w:rsidRPr="00000000" w14:paraId="00000031">
      <w:pPr>
        <w:pStyle w:val="Heading3"/>
        <w:rPr/>
      </w:pPr>
      <w:bookmarkStart w:colFirst="0" w:colLast="0" w:name="_ihjkovooz6zu" w:id="14"/>
      <w:bookmarkEnd w:id="14"/>
      <w:r w:rsidDel="00000000" w:rsidR="00000000" w:rsidRPr="00000000">
        <w:rPr>
          <w:rtl w:val="0"/>
        </w:rPr>
        <w:t xml:space="preserve">4.3. Módulo 3: Monitoreo de Proyectos y Telemetría de Sprints en Tiempo Real</w:t>
      </w:r>
    </w:p>
    <w:p w:rsidR="00000000" w:rsidDel="00000000" w:rsidP="00000000" w:rsidRDefault="00000000" w:rsidRPr="00000000" w14:paraId="00000032">
      <w:pPr>
        <w:rPr/>
      </w:pPr>
      <w:r w:rsidDel="00000000" w:rsidR="00000000" w:rsidRPr="00000000">
        <w:rPr>
          <w:rtl w:val="0"/>
        </w:rPr>
        <w:t xml:space="preserve">Permite la visualización de Sprints activos a través de diagramas de Gantt dinámicos y Burndown charts. Ofrece telemetría sobre la salud de los pipelines de Capa 1 y Capa 2, informando sobre uptime, registros procesados y alertas en colas de errores (DLQ).</w:t>
      </w:r>
    </w:p>
    <w:p w:rsidR="00000000" w:rsidDel="00000000" w:rsidP="00000000" w:rsidRDefault="00000000" w:rsidRPr="00000000" w14:paraId="00000033">
      <w:pPr>
        <w:pStyle w:val="Heading3"/>
        <w:rPr/>
      </w:pPr>
      <w:bookmarkStart w:colFirst="0" w:colLast="0" w:name="_cv0uttjzyhlg" w:id="15"/>
      <w:bookmarkEnd w:id="15"/>
      <w:r w:rsidDel="00000000" w:rsidR="00000000" w:rsidRPr="00000000">
        <w:rPr>
          <w:rtl w:val="0"/>
        </w:rPr>
        <w:t xml:space="preserve">4.4. Módulo 4: Bóveda Documental Segura y Compartición de Archivos</w:t>
      </w:r>
    </w:p>
    <w:p w:rsidR="00000000" w:rsidDel="00000000" w:rsidP="00000000" w:rsidRDefault="00000000" w:rsidRPr="00000000" w14:paraId="00000034">
      <w:pPr>
        <w:rPr/>
      </w:pPr>
      <w:r w:rsidDel="00000000" w:rsidR="00000000" w:rsidRPr="00000000">
        <w:rPr>
          <w:rtl w:val="0"/>
        </w:rPr>
        <w:t xml:space="preserve">Repositorio de alta seguridad cifrado para el intercambio de esquemas técnicos, datasets de muestra, contratos, actas de acuerdos y diagramas BPMN, manteniendo un control de versiones estricto y auditable.</w:t>
      </w:r>
    </w:p>
    <w:p w:rsidR="00000000" w:rsidDel="00000000" w:rsidP="00000000" w:rsidRDefault="00000000" w:rsidRPr="00000000" w14:paraId="00000035">
      <w:pPr>
        <w:pStyle w:val="Heading3"/>
        <w:rPr/>
      </w:pPr>
      <w:bookmarkStart w:colFirst="0" w:colLast="0" w:name="_xt5wyouju0jw" w:id="16"/>
      <w:bookmarkEnd w:id="16"/>
      <w:r w:rsidDel="00000000" w:rsidR="00000000" w:rsidRPr="00000000">
        <w:rPr>
          <w:rtl w:val="0"/>
        </w:rPr>
        <w:t xml:space="preserve">4.5. Módulo 5: Visor de Dashboards y Consolas Analíticas Embebidas</w:t>
      </w:r>
    </w:p>
    <w:p w:rsidR="00000000" w:rsidDel="00000000" w:rsidP="00000000" w:rsidRDefault="00000000" w:rsidRPr="00000000" w14:paraId="00000036">
      <w:pPr>
        <w:rPr/>
      </w:pPr>
      <w:r w:rsidDel="00000000" w:rsidR="00000000" w:rsidRPr="00000000">
        <w:rPr>
          <w:rtl w:val="0"/>
        </w:rPr>
        <w:t xml:space="preserve">Integración nativa de tableros provenientes de Power BI, Tableau y Looker. Utiliza tokens de sesión efímeros y seguros, con un diseño adaptativo que garantiza la legibilidad de los datos en pantallas de diversos formatos.</w:t>
      </w:r>
    </w:p>
    <w:p w:rsidR="00000000" w:rsidDel="00000000" w:rsidP="00000000" w:rsidRDefault="00000000" w:rsidRPr="00000000" w14:paraId="00000037">
      <w:pPr>
        <w:pStyle w:val="Heading3"/>
        <w:rPr/>
      </w:pPr>
      <w:bookmarkStart w:colFirst="0" w:colLast="0" w:name="_u5n5rodm3vj2" w:id="17"/>
      <w:bookmarkEnd w:id="17"/>
      <w:r w:rsidDel="00000000" w:rsidR="00000000" w:rsidRPr="00000000">
        <w:rPr>
          <w:rtl w:val="0"/>
        </w:rPr>
        <w:t xml:space="preserve">4.6. Módulo 6: Aprobación de Entregables con Firma Electrónica Avanzada</w:t>
      </w:r>
    </w:p>
    <w:p w:rsidR="00000000" w:rsidDel="00000000" w:rsidP="00000000" w:rsidRDefault="00000000" w:rsidRPr="00000000" w14:paraId="00000038">
      <w:pPr>
        <w:rPr/>
      </w:pPr>
      <w:r w:rsidDel="00000000" w:rsidR="00000000" w:rsidRPr="00000000">
        <w:rPr>
          <w:rtl w:val="0"/>
        </w:rPr>
        <w:t xml:space="preserve">Bandeja de entrada centralizada para la revisión de entregables de Sprints y evidencias de Definition of Done (DoD). Incluye un mecanismo de firma electrónica avanzada con validez legal internacional y sellado de tiempo criptográfico.</w:t>
      </w:r>
    </w:p>
    <w:p w:rsidR="00000000" w:rsidDel="00000000" w:rsidP="00000000" w:rsidRDefault="00000000" w:rsidRPr="00000000" w14:paraId="00000039">
      <w:pPr>
        <w:pStyle w:val="Heading3"/>
        <w:rPr/>
      </w:pPr>
      <w:bookmarkStart w:colFirst="0" w:colLast="0" w:name="_bg54znsrmlse" w:id="18"/>
      <w:bookmarkEnd w:id="18"/>
      <w:r w:rsidDel="00000000" w:rsidR="00000000" w:rsidRPr="00000000">
        <w:rPr>
          <w:rtl w:val="0"/>
        </w:rPr>
        <w:t xml:space="preserve">4.7. Módulo 7: Facturación Transparente, FinOps y Métricas de Consumo</w:t>
      </w:r>
    </w:p>
    <w:p w:rsidR="00000000" w:rsidDel="00000000" w:rsidP="00000000" w:rsidRDefault="00000000" w:rsidRPr="00000000" w14:paraId="0000003A">
      <w:pPr>
        <w:rPr/>
      </w:pPr>
      <w:r w:rsidDel="00000000" w:rsidR="00000000" w:rsidRPr="00000000">
        <w:rPr>
          <w:rtl w:val="0"/>
        </w:rPr>
        <w:t xml:space="preserve">Visualización clara de costos incurridos por Squad y consumo de recursos cloud asociados. Permite la descarga de facturas electrónicas e historial de transacciones, alineado con las mejores prácticas de FinOps.</w:t>
      </w:r>
    </w:p>
    <w:p w:rsidR="00000000" w:rsidDel="00000000" w:rsidP="00000000" w:rsidRDefault="00000000" w:rsidRPr="00000000" w14:paraId="0000003B">
      <w:pPr>
        <w:pStyle w:val="Heading3"/>
        <w:rPr/>
      </w:pPr>
      <w:bookmarkStart w:colFirst="0" w:colLast="0" w:name="_18fqcoqau7cy" w:id="19"/>
      <w:bookmarkEnd w:id="19"/>
      <w:r w:rsidDel="00000000" w:rsidR="00000000" w:rsidRPr="00000000">
        <w:rPr>
          <w:rtl w:val="0"/>
        </w:rPr>
        <w:t xml:space="preserve">4.8. Módulo 8: Centro de Soporte 24/7 y Gestión de Incidencias Técnicas</w:t>
      </w:r>
    </w:p>
    <w:p w:rsidR="00000000" w:rsidDel="00000000" w:rsidP="00000000" w:rsidRDefault="00000000" w:rsidRPr="00000000" w14:paraId="0000003C">
      <w:pPr>
        <w:rPr/>
      </w:pPr>
      <w:r w:rsidDel="00000000" w:rsidR="00000000" w:rsidRPr="00000000">
        <w:rPr>
          <w:rtl w:val="0"/>
        </w:rPr>
        <w:t xml:space="preserve">Sistema de gestión de tickets clasificados por criticidad (Sev 1 a Sev 3). Incluye contadores de tiempo para asegurar el cumplimiento de SLAs de respuesta de 15 minutos y acceso a reportes post-mortem de incidentes resueltos.</w:t>
      </w:r>
    </w:p>
    <w:p w:rsidR="00000000" w:rsidDel="00000000" w:rsidP="00000000" w:rsidRDefault="00000000" w:rsidRPr="00000000" w14:paraId="0000003D">
      <w:pPr>
        <w:pStyle w:val="Heading2"/>
        <w:rPr/>
      </w:pPr>
      <w:bookmarkStart w:colFirst="0" w:colLast="0" w:name="_4qbmpygjdcfh" w:id="20"/>
      <w:bookmarkEnd w:id="20"/>
      <w:r w:rsidDel="00000000" w:rsidR="00000000" w:rsidRPr="00000000">
        <w:rPr>
          <w:rtl w:val="0"/>
        </w:rPr>
        <w:t xml:space="preserve">5. ARQUITECTURA DE INFORMACIÓN Y DISEÑO DE INTERFAZ (UI/UX)</w:t>
      </w:r>
    </w:p>
    <w:p w:rsidR="00000000" w:rsidDel="00000000" w:rsidP="00000000" w:rsidRDefault="00000000" w:rsidRPr="00000000" w14:paraId="0000003E">
      <w:pPr>
        <w:pStyle w:val="Heading3"/>
        <w:rPr/>
      </w:pPr>
      <w:bookmarkStart w:colFirst="0" w:colLast="0" w:name="_are3oafx169" w:id="21"/>
      <w:bookmarkEnd w:id="21"/>
      <w:r w:rsidDel="00000000" w:rsidR="00000000" w:rsidRPr="00000000">
        <w:rPr>
          <w:rtl w:val="0"/>
        </w:rPr>
        <w:t xml:space="preserve">5.1. Estética Dark Mode y Directrices de Identidad Visual</w:t>
      </w:r>
    </w:p>
    <w:p w:rsidR="00000000" w:rsidDel="00000000" w:rsidP="00000000" w:rsidRDefault="00000000" w:rsidRPr="00000000" w14:paraId="0000003F">
      <w:pPr>
        <w:rPr/>
      </w:pPr>
      <w:r w:rsidDel="00000000" w:rsidR="00000000" w:rsidRPr="00000000">
        <w:rPr>
          <w:rtl w:val="0"/>
        </w:rPr>
        <w:t xml:space="preserve">El diseño se rige por un esquema cromático de alta tecnología y confort visual: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2"/>
        </w:numPr>
        <w:ind w:left="720" w:hanging="360"/>
      </w:pPr>
      <w:r w:rsidDel="00000000" w:rsidR="00000000" w:rsidRPr="00000000">
        <w:rPr>
          <w:b w:val="1"/>
          <w:bCs w:val="1"/>
          <w:rtl w:val="0"/>
        </w:rPr>
        <w:t xml:space="preserve">Fondos:</w:t>
      </w:r>
      <w:r w:rsidDel="00000000" w:rsidR="00000000" w:rsidRPr="00000000">
        <w:rPr>
          <w:rtl w:val="0"/>
        </w:rPr>
        <w:t xml:space="preserve"> Dark Slate (#0F172A).</w:t>
      </w:r>
    </w:p>
    <w:p w:rsidR="00000000" w:rsidDel="00000000" w:rsidP="00000000" w:rsidRDefault="00000000" w:rsidRPr="00000000" w14:paraId="00000042">
      <w:pPr>
        <w:numPr>
          <w:ilvl w:val="0"/>
          <w:numId w:val="2"/>
        </w:numPr>
        <w:ind w:left="720" w:hanging="360"/>
      </w:pPr>
      <w:r w:rsidDel="00000000" w:rsidR="00000000" w:rsidRPr="00000000">
        <w:rPr>
          <w:b w:val="1"/>
          <w:bCs w:val="1"/>
          <w:rtl w:val="0"/>
        </w:rPr>
        <w:t xml:space="preserve">Contenedores y Tarjetas:</w:t>
      </w:r>
      <w:r w:rsidDel="00000000" w:rsidR="00000000" w:rsidRPr="00000000">
        <w:rPr>
          <w:rtl w:val="0"/>
        </w:rPr>
        <w:t xml:space="preserve"> Graphite Dark (#111827).</w:t>
      </w:r>
    </w:p>
    <w:p w:rsidR="00000000" w:rsidDel="00000000" w:rsidP="00000000" w:rsidRDefault="00000000" w:rsidRPr="00000000" w14:paraId="00000043">
      <w:pPr>
        <w:numPr>
          <w:ilvl w:val="0"/>
          <w:numId w:val="2"/>
        </w:numPr>
        <w:ind w:left="720" w:hanging="360"/>
      </w:pPr>
      <w:r w:rsidDel="00000000" w:rsidR="00000000" w:rsidRPr="00000000">
        <w:rPr>
          <w:b w:val="1"/>
          <w:bCs w:val="1"/>
          <w:rtl w:val="0"/>
        </w:rPr>
        <w:t xml:space="preserve">Indicadores de Acción:</w:t>
      </w:r>
      <w:r w:rsidDel="00000000" w:rsidR="00000000" w:rsidRPr="00000000">
        <w:rPr>
          <w:rtl w:val="0"/>
        </w:rPr>
        <w:t xml:space="preserve"> Verde Código (#00FF66).</w:t>
      </w:r>
    </w:p>
    <w:p w:rsidR="00000000" w:rsidDel="00000000" w:rsidP="00000000" w:rsidRDefault="00000000" w:rsidRPr="00000000" w14:paraId="00000044">
      <w:pPr>
        <w:numPr>
          <w:ilvl w:val="0"/>
          <w:numId w:val="2"/>
        </w:numPr>
        <w:ind w:left="720" w:hanging="360"/>
      </w:pPr>
      <w:r w:rsidDel="00000000" w:rsidR="00000000" w:rsidRPr="00000000">
        <w:rPr>
          <w:b w:val="1"/>
          <w:bCs w:val="1"/>
          <w:rtl w:val="0"/>
        </w:rPr>
        <w:t xml:space="preserve">Destacados y Enlaces:</w:t>
      </w:r>
      <w:r w:rsidDel="00000000" w:rsidR="00000000" w:rsidRPr="00000000">
        <w:rPr>
          <w:rtl w:val="0"/>
        </w:rPr>
        <w:t xml:space="preserve"> Cian Eléctrico (#22D3EE).</w:t>
      </w:r>
    </w:p>
    <w:p w:rsidR="00000000" w:rsidDel="00000000" w:rsidP="00000000" w:rsidRDefault="00000000" w:rsidRPr="00000000" w14:paraId="00000045">
      <w:pPr>
        <w:pStyle w:val="Heading3"/>
        <w:rPr/>
      </w:pPr>
      <w:bookmarkStart w:colFirst="0" w:colLast="0" w:name="_78hdc02kx2s9" w:id="22"/>
      <w:bookmarkEnd w:id="22"/>
      <w:r w:rsidDel="00000000" w:rsidR="00000000" w:rsidRPr="00000000">
        <w:rPr>
          <w:rtl w:val="0"/>
        </w:rPr>
        <w:t xml:space="preserve">5.2. Mapa de Navegación y Wireframes Estructurales</w:t>
      </w:r>
    </w:p>
    <w:p w:rsidR="00000000" w:rsidDel="00000000" w:rsidP="00000000" w:rsidRDefault="00000000" w:rsidRPr="00000000" w14:paraId="00000046">
      <w:pPr>
        <w:rPr/>
      </w:pPr>
      <w:r w:rsidDel="00000000" w:rsidR="00000000" w:rsidRPr="00000000">
        <w:rPr>
          <w:rtl w:val="0"/>
        </w:rPr>
        <w:t xml:space="preserve">La experiencia de usuario se optimiza mediante una barra de navegación inferior (Bottom Navigation Bar) en la versión móvil y una barra lateral colapsable (Sidebar) en el portal web, priorizando el acceso rápido a los módulos de telemetría y aprobación.</w:t>
      </w:r>
    </w:p>
    <w:p w:rsidR="00000000" w:rsidDel="00000000" w:rsidP="00000000" w:rsidRDefault="00000000" w:rsidRPr="00000000" w14:paraId="00000047">
      <w:pPr>
        <w:pStyle w:val="Heading2"/>
        <w:rPr/>
      </w:pPr>
      <w:bookmarkStart w:colFirst="0" w:colLast="0" w:name="_462q3o2x6uwu" w:id="23"/>
      <w:bookmarkEnd w:id="23"/>
      <w:r w:rsidDel="00000000" w:rsidR="00000000" w:rsidRPr="00000000">
        <w:rPr>
          <w:rtl w:val="0"/>
        </w:rPr>
        <w:t xml:space="preserve">6. SEGURIDAD, PRIVACIDAD Y CIFRADO EN DISPOSITIVOS MÓVILES</w:t>
      </w:r>
    </w:p>
    <w:p w:rsidR="00000000" w:rsidDel="00000000" w:rsidP="00000000" w:rsidRDefault="00000000" w:rsidRPr="00000000" w14:paraId="00000048">
      <w:pPr>
        <w:rPr/>
      </w:pPr>
      <w:r w:rsidDel="00000000" w:rsidR="00000000" w:rsidRPr="00000000">
        <w:rPr>
          <w:rtl w:val="0"/>
        </w:rPr>
        <w:t xml:space="preserve">La plataforma implementa medidas de seguridad de grado bancario:</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numPr>
          <w:ilvl w:val="0"/>
          <w:numId w:val="1"/>
        </w:numPr>
        <w:ind w:left="720" w:hanging="360"/>
      </w:pPr>
      <w:r w:rsidDel="00000000" w:rsidR="00000000" w:rsidRPr="00000000">
        <w:rPr>
          <w:b w:val="1"/>
          <w:bCs w:val="1"/>
          <w:rtl w:val="0"/>
        </w:rPr>
        <w:t xml:space="preserve">Almacenamiento Local:</w:t>
      </w:r>
      <w:r w:rsidDel="00000000" w:rsidR="00000000" w:rsidRPr="00000000">
        <w:rPr>
          <w:rtl w:val="0"/>
        </w:rPr>
        <w:t xml:space="preserve"> Uso de iOS Keychain y Android Keystore para llaves criptográficas.</w:t>
      </w:r>
    </w:p>
    <w:p w:rsidR="00000000" w:rsidDel="00000000" w:rsidP="00000000" w:rsidRDefault="00000000" w:rsidRPr="00000000" w14:paraId="0000004B">
      <w:pPr>
        <w:numPr>
          <w:ilvl w:val="0"/>
          <w:numId w:val="1"/>
        </w:numPr>
        <w:ind w:left="720" w:hanging="360"/>
      </w:pPr>
      <w:r w:rsidDel="00000000" w:rsidR="00000000" w:rsidRPr="00000000">
        <w:rPr>
          <w:b w:val="1"/>
          <w:bCs w:val="1"/>
          <w:rtl w:val="0"/>
        </w:rPr>
        <w:t xml:space="preserve">Comunicaciones:</w:t>
      </w:r>
      <w:r w:rsidDel="00000000" w:rsidR="00000000" w:rsidRPr="00000000">
        <w:rPr>
          <w:rtl w:val="0"/>
        </w:rPr>
        <w:t xml:space="preserve"> Certificate Pinning para mitigar ataques de interceptación (Man-in-the-Middle).</w:t>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Protección de Datos:</w:t>
      </w:r>
      <w:r w:rsidDel="00000000" w:rsidR="00000000" w:rsidRPr="00000000">
        <w:rPr>
          <w:rtl w:val="0"/>
        </w:rPr>
        <w:t xml:space="preserve"> Desconexión automática por inactividad y políticas de Prevención de Pérdida de Datos (DLP), incluyendo el bloqueo de capturas de pantalla en secciones con información confidencial.</w:t>
      </w:r>
    </w:p>
    <w:p w:rsidR="00000000" w:rsidDel="00000000" w:rsidP="00000000" w:rsidRDefault="00000000" w:rsidRPr="00000000" w14:paraId="0000004D">
      <w:pPr>
        <w:pStyle w:val="Heading2"/>
        <w:rPr/>
      </w:pPr>
      <w:bookmarkStart w:colFirst="0" w:colLast="0" w:name="_nw1mqrtfv571" w:id="24"/>
      <w:bookmarkEnd w:id="24"/>
      <w:r w:rsidDel="00000000" w:rsidR="00000000" w:rsidRPr="00000000">
        <w:rPr>
          <w:rtl w:val="0"/>
        </w:rPr>
        <w:t xml:space="preserve">7. HOJA DE RUTA DE LANZAMIENTO Y EVOLUCIÓN DIGITAL</w:t>
      </w:r>
    </w:p>
    <w:p w:rsidR="00000000" w:rsidDel="00000000" w:rsidP="00000000" w:rsidRDefault="00000000" w:rsidRPr="00000000" w14:paraId="0000004E">
      <w:pPr>
        <w:rPr/>
      </w:pPr>
      <w:r w:rsidDel="00000000" w:rsidR="00000000" w:rsidRPr="00000000">
        <w:rPr>
          <w:rtl w:val="0"/>
        </w:rPr>
        <w:t xml:space="preserve">El despliegue se estructurará en tres etapas críticas: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4"/>
        </w:numPr>
        <w:ind w:left="720" w:hanging="360"/>
      </w:pPr>
      <w:r w:rsidDel="00000000" w:rsidR="00000000" w:rsidRPr="00000000">
        <w:rPr>
          <w:b w:val="1"/>
          <w:bCs w:val="1"/>
          <w:rtl w:val="0"/>
        </w:rPr>
        <w:t xml:space="preserve">Fase Beta Interna:</w:t>
      </w:r>
      <w:r w:rsidDel="00000000" w:rsidR="00000000" w:rsidRPr="00000000">
        <w:rPr>
          <w:rtl w:val="0"/>
        </w:rPr>
        <w:t xml:space="preserve"> Validación de estabilidad y pruebas de estrés de infraestructura.</w:t>
      </w:r>
    </w:p>
    <w:p w:rsidR="00000000" w:rsidDel="00000000" w:rsidP="00000000" w:rsidRDefault="00000000" w:rsidRPr="00000000" w14:paraId="00000051">
      <w:pPr>
        <w:numPr>
          <w:ilvl w:val="0"/>
          <w:numId w:val="4"/>
        </w:numPr>
        <w:ind w:left="720" w:hanging="360"/>
      </w:pPr>
      <w:r w:rsidDel="00000000" w:rsidR="00000000" w:rsidRPr="00000000">
        <w:rPr>
          <w:b w:val="1"/>
          <w:bCs w:val="1"/>
          <w:rtl w:val="0"/>
        </w:rPr>
        <w:t xml:space="preserve">Piloto con Clientes Seleccionados:</w:t>
      </w:r>
      <w:r w:rsidDel="00000000" w:rsidR="00000000" w:rsidRPr="00000000">
        <w:rPr>
          <w:rtl w:val="0"/>
        </w:rPr>
        <w:t xml:space="preserve"> Despliegue controlado para ajuste de UX y funcionalidades de campo.</w:t>
      </w:r>
    </w:p>
    <w:p w:rsidR="00000000" w:rsidDel="00000000" w:rsidP="00000000" w:rsidRDefault="00000000" w:rsidRPr="00000000" w14:paraId="00000052">
      <w:pPr>
        <w:numPr>
          <w:ilvl w:val="0"/>
          <w:numId w:val="4"/>
        </w:numPr>
        <w:ind w:left="720" w:hanging="360"/>
      </w:pPr>
      <w:r w:rsidDel="00000000" w:rsidR="00000000" w:rsidRPr="00000000">
        <w:rPr>
          <w:b w:val="1"/>
          <w:bCs w:val="1"/>
          <w:rtl w:val="0"/>
        </w:rPr>
        <w:t xml:space="preserve">Lanzamiento Global:</w:t>
      </w:r>
      <w:r w:rsidDel="00000000" w:rsidR="00000000" w:rsidRPr="00000000">
        <w:rPr>
          <w:rtl w:val="0"/>
        </w:rPr>
        <w:t xml:space="preserve"> Disponibilidad oficial en App Store y Google Play para la totalidad de la cartera de clientes.</w:t>
      </w:r>
    </w:p>
    <w:p w:rsidR="00000000" w:rsidDel="00000000" w:rsidP="00000000" w:rsidRDefault="00000000" w:rsidRPr="00000000" w14:paraId="00000053">
      <w:pPr>
        <w:pStyle w:val="Heading2"/>
        <w:rPr/>
      </w:pPr>
      <w:bookmarkStart w:colFirst="0" w:colLast="0" w:name="_1xdw3k15w6hj" w:id="25"/>
      <w:bookmarkEnd w:id="25"/>
      <w:r w:rsidDel="00000000" w:rsidR="00000000" w:rsidRPr="00000000">
        <w:rPr>
          <w:rtl w:val="0"/>
        </w:rPr>
        <w:t xml:space="preserve">8. EPÍLOGO: EL ECOSISTEMA DOCUMENTAL COMPLETO DE STATSFIRM CO.</w:t>
      </w:r>
    </w:p>
    <w:p w:rsidR="00000000" w:rsidDel="00000000" w:rsidP="00000000" w:rsidRDefault="00000000" w:rsidRPr="00000000" w14:paraId="00000054">
      <w:pPr>
        <w:rPr/>
      </w:pPr>
      <w:r w:rsidDel="00000000" w:rsidR="00000000" w:rsidRPr="00000000">
        <w:rPr>
          <w:rtl w:val="0"/>
        </w:rPr>
        <w:t xml:space="preserve">Con la publicación de este Documento 10, se completa la suite documental corporativa de Statsfirm Co. Este conjunto de diez documentos de nivel internacional constituye la base sólida que sustenta la identidad, el gobierno, los servicios, la arquitectura técnica, los procesos operativos y el ecosistema digital de la organización, garantizando la excelencia en la ejecución de proyectos de transformación de datos para el mercado global.</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e293b"/>
        <w:sz w:val="24"/>
        <w:szCs w:val="24"/>
        <w:lang w:val="es"/>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00" w:lineRule="auto"/>
    </w:pPr>
    <w:rPr>
      <w:rFonts w:ascii="Inter" w:cs="Inter" w:eastAsia="Inter" w:hAnsi="Inter"/>
      <w:b w:val="1"/>
      <w:bCs w:val="1"/>
      <w:i w:val="0"/>
      <w:iCs w:val="0"/>
      <w:color w:val="0f172a"/>
      <w:sz w:val="36"/>
      <w:szCs w:val="36"/>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1e293b"/>
      <w:sz w:val="32"/>
      <w:szCs w:val="32"/>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334155"/>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75569"/>
      <w:sz w:val="28"/>
      <w:szCs w:val="28"/>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center"/>
    </w:tcPr>
    <w:tblStylePr w:type="firstRow">
      <w:rPr>
        <w:rFonts w:ascii="Inter" w:cs="Inter" w:eastAsia="Inter" w:hAnsi="Inter"/>
        <w:b w:val="1"/>
        <w:bCs w:val="1"/>
        <w:i w:val="0"/>
        <w:iCs w:val="0"/>
        <w:color w:val="475569"/>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