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9A7B2E"/>
          <w:sz w:val="18"/>
          <w:szCs w:val="18"/>
        </w:rPr>
        <w:t xml:space="preserve">LOYALL COMPANY  ·  PDPA  ·  ESPECIFICAÇÃO DE IMPLEMENTAÇÃO</w:t>
      </w:r>
    </w:p>
    <w:p>
      <w:pPr>
        <w:spacing w:after="60"/>
      </w:pPr>
      <w:r>
        <w:rPr>
          <w:b/>
          <w:bCs/>
          <w:color w:val="1A1A2E"/>
          <w:sz w:val="36"/>
          <w:szCs w:val="36"/>
        </w:rPr>
        <w:t xml:space="preserve">Distribuição de Verbatins Só-Símbolo</w:t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Especificação técnica para implementação (CP) — v1</w:t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· Contexto e diagnóstico</w:t>
      </w:r>
    </w:p>
    <w:p>
      <w:pPr>
        <w:spacing w:after="150" w:line="276"/>
        <w:jc w:val="both"/>
      </w:pPr>
      <w:r>
        <w:t xml:space="preserve">Verbatins </w:t>
      </w:r>
      <w:r>
        <w:rPr>
          <w:b/>
          <w:bCs/>
        </w:rPr>
        <w:t xml:space="preserve">só-símbolo</w:t>
      </w:r>
      <w:r>
        <w:t xml:space="preserve"> são avaliações sem texto — hoje, 100% estrelas do Google. No BH Airport: </w:t>
      </w:r>
      <w:r>
        <w:rPr>
          <w:b/>
          <w:bCs/>
        </w:rPr>
        <w:t xml:space="preserve">4.155 sinais (41% do total)</w:t>
      </w:r>
      <w:r>
        <w:t xml:space="preserve">, dos quais 78% são 5★. O mecanismo atual (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RATING_PARA_CLASSIFICACAO em src/coletor/pipeline.py</w:t>
      </w:r>
      <w:r>
        <w:t xml:space="preserve">) força </w:t>
      </w:r>
      <w:r>
        <w:rPr>
          <w:b/>
          <w:bCs/>
        </w:rPr>
        <w:t xml:space="preserve">todos para o subpilar Pa1 (Parceria)</w:t>
      </w:r>
      <w:r>
        <w:t xml:space="preserve">, determinístico, sem análise.</w:t>
      </w:r>
    </w:p>
    <w:p>
      <w:pPr>
        <w:spacing w:after="150" w:line="276"/>
        <w:jc w:val="both"/>
      </w:pPr>
      <w:r>
        <w:t xml:space="preserve">Efeito: Parceria está </w:t>
      </w:r>
      <w:r>
        <w:rPr>
          <w:b/>
          <w:bCs/>
        </w:rPr>
        <w:t xml:space="preserve">59% inflada por símbolo</w:t>
      </w:r>
      <w:r>
        <w:t xml:space="preserve"> (4.155 de 7.077); os pilares Precisão, Disponibilidade e Aconselhamento recebem </w:t>
      </w:r>
      <w:r>
        <w:rPr>
          <w:b/>
          <w:bCs/>
        </w:rPr>
        <w:t xml:space="preserve">zero</w:t>
      </w:r>
      <w:r>
        <w:t xml:space="preserve"> sinal de símbolo. O diagnóstico de Parceria do cliente de validação está distorcido em produção.</w:t>
      </w:r>
    </w:p>
    <w:p>
      <w:pPr>
        <w:pStyle w:val="Heading2"/>
      </w:pPr>
      <w:r>
        <w:t xml:space="preserve">Princípios acordados</w:t>
      </w:r>
    </w:p>
    <w:p>
      <w:pPr>
        <w:pStyle w:val="ListParagraph"/>
        <w:numPr>
          <w:ilvl w:val="0"/>
          <w:numId w:val="2"/>
        </w:numPr>
        <w:spacing w:after="75" w:line="268"/>
        <w:jc w:val="both"/>
      </w:pPr>
      <w:r>
        <w:rPr>
          <w:b/>
          <w:bCs/>
        </w:rPr>
        <w:t xml:space="preserve">O símbolo fica. </w:t>
      </w:r>
      <w:r>
        <w:t xml:space="preserve">É a voz da maioria silenciosa; carrega valência real; é 41% do volume e vem da fonte principal.</w:t>
      </w:r>
    </w:p>
    <w:p>
      <w:pPr>
        <w:pStyle w:val="ListParagraph"/>
        <w:numPr>
          <w:ilvl w:val="0"/>
          <w:numId w:val="2"/>
        </w:numPr>
        <w:spacing w:after="75" w:line="268"/>
        <w:jc w:val="both"/>
      </w:pPr>
      <w:r>
        <w:rPr>
          <w:b/>
          <w:bCs/>
        </w:rPr>
        <w:t xml:space="preserve">Símbolo = valência, não causa. </w:t>
      </w:r>
      <w:r>
        <w:t xml:space="preserve">Diz se o cliente está satisfeito (forte), não em qual pilar (não localiza sozinho).</w:t>
      </w:r>
    </w:p>
    <w:p>
      <w:pPr>
        <w:pStyle w:val="ListParagraph"/>
        <w:numPr>
          <w:ilvl w:val="0"/>
          <w:numId w:val="2"/>
        </w:numPr>
        <w:spacing w:after="75" w:line="268"/>
        <w:jc w:val="both"/>
      </w:pPr>
      <w:r>
        <w:rPr>
          <w:b/>
          <w:bCs/>
        </w:rPr>
        <w:t xml:space="preserve">O destino “tudo em Pa1” é o defeito a corrigir. </w:t>
      </w:r>
      <w:r>
        <w:t xml:space="preserve">Sem justificativa metodológica.</w:t>
      </w:r>
    </w:p>
    <w:p>
      <w:pPr>
        <w:pStyle w:val="ListParagraph"/>
        <w:numPr>
          <w:ilvl w:val="0"/>
          <w:numId w:val="2"/>
        </w:numPr>
        <w:spacing w:after="75" w:line="268"/>
        <w:jc w:val="both"/>
      </w:pPr>
      <w:r>
        <w:rPr>
          <w:b/>
          <w:bCs/>
        </w:rPr>
        <w:t xml:space="preserve">O símbolo amplifica direção comprovada por texto. </w:t>
      </w:r>
      <w:r>
        <w:t xml:space="preserve">Distribuído pela proporção dos textos da mesma loja, ele reforça o que o conteúdo já estabeleceu — não inventa direção nova.</w:t>
      </w:r>
    </w:p>
    <w:p>
      <w:pPr>
        <w:pStyle w:val="Heading1"/>
      </w:pPr>
      <w:r>
        <w:t xml:space="preserve">2 · Valência por nota — mantida</w:t>
      </w:r>
    </w:p>
    <w:p>
      <w:pPr>
        <w:spacing w:after="150" w:line="276"/>
        <w:jc w:val="both"/>
      </w:pPr>
      <w:r>
        <w:t xml:space="preserve">Inalterado (validado como correto). A nota define o tipo: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Confiança (registrada)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5 ★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E7D46"/>
                <w:sz w:val="18"/>
                <w:szCs w:val="18"/>
              </w:rPr>
              <w:t xml:space="preserve">Promotor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4 ★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9A7B2E"/>
                <w:sz w:val="18"/>
                <w:szCs w:val="18"/>
              </w:rPr>
              <w:t xml:space="preserve">Conversível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3 ★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9A7B2E"/>
                <w:sz w:val="18"/>
                <w:szCs w:val="18"/>
              </w:rPr>
              <w:t xml:space="preserve">Conversível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 ★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B23A3A"/>
                <w:sz w:val="18"/>
                <w:szCs w:val="18"/>
              </w:rPr>
              <w:t xml:space="preserve">Detrator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1 ★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B23A3A"/>
                <w:sz w:val="18"/>
                <w:szCs w:val="18"/>
              </w:rPr>
              <w:t xml:space="preserve">Detrator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0,4</w:t>
            </w:r>
          </w:p>
        </w:tc>
      </w:tr>
    </w:tbl>
    <w:p>
      <w:pPr>
        <w:spacing w:after="100"/>
      </w:pPr>
    </w:p>
    <w:p>
      <w:pPr>
        <w:spacing w:after="150" w:line="276"/>
        <w:jc w:val="both"/>
      </w:pPr>
      <w:r>
        <w:t xml:space="preserve">A confiança continua </w:t>
      </w:r>
      <w:r>
        <w:rPr>
          <w:b/>
          <w:bCs/>
        </w:rPr>
        <w:t xml:space="preserve">registrada</w:t>
      </w:r>
      <w:r>
        <w:t xml:space="preserve"> (não usada em cálculo hoje), reservada para a futura política de peso.</w:t>
      </w:r>
    </w:p>
    <w:p>
      <w:pPr>
        <w:pStyle w:val="Heading1"/>
      </w:pPr>
      <w:r>
        <w:t xml:space="preserve">3 · Localização — a cascata de distribuição</w:t>
      </w:r>
    </w:p>
    <w:p>
      <w:pPr>
        <w:spacing w:after="150" w:line="276"/>
        <w:jc w:val="both"/>
      </w:pPr>
      <w:r>
        <w:t xml:space="preserve">Em vez de forçar Pa1, cada símbolo é distribuído entre os quatro pilares pela </w:t>
      </w:r>
      <w:r>
        <w:rPr>
          <w:b/>
          <w:bCs/>
        </w:rPr>
        <w:t xml:space="preserve">proporção de pilares dos verbatins COM texto</w:t>
      </w:r>
      <w:r>
        <w:t xml:space="preserve"> do escopo mais confiável disponível. A proporção </w:t>
      </w:r>
      <w:r>
        <w:rPr>
          <w:b/>
          <w:bCs/>
        </w:rPr>
        <w:t xml:space="preserve">sempre deriva de texto</w:t>
      </w:r>
      <w:r>
        <w:t xml:space="preserve"> — nunca de símbolo já distribuído (evita circularidade). Desce de nível só quando o anterior não atinge o piso de </w:t>
      </w:r>
      <w:r>
        <w:rPr>
          <w:b/>
          <w:bCs/>
        </w:rPr>
        <w:t xml:space="preserve">30 verbatins com texto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5" w:line="272"/>
        <w:jc w:val="both"/>
      </w:pPr>
      <w:r>
        <w:rPr>
          <w:b/>
          <w:bCs/>
        </w:rPr>
        <w:t xml:space="preserve">Proporção da própria loja. </w:t>
      </w:r>
      <w:r>
        <w:t xml:space="preserve">Se a loja tem ≥30 verbatins com texto, distribui pela proporção de pilares desses textos. Caso ideal: causa local.</w:t>
      </w:r>
    </w:p>
    <w:p>
      <w:pPr>
        <w:pStyle w:val="ListParagraph"/>
        <w:numPr>
          <w:ilvl w:val="0"/>
          <w:numId w:val="3"/>
        </w:numPr>
        <w:spacing w:after="85" w:line="272"/>
        <w:jc w:val="both"/>
      </w:pPr>
      <w:r>
        <w:rPr>
          <w:b/>
          <w:bCs/>
        </w:rPr>
        <w:t xml:space="preserve">Proporção do agrupamento. </w:t>
      </w:r>
      <w:r>
        <w:t xml:space="preserve">Se a loja não atinge 30, sobe ao agrupamento dela (ex: Cafeterias) e usa a proporção dos textos de todas as lojas do agrupamento somadas — se o agrupamento tiver ≥30 textos. Lojas do mesmo tipo tendem ao mesmo perfil de relação.</w:t>
      </w:r>
    </w:p>
    <w:p>
      <w:pPr>
        <w:pStyle w:val="ListParagraph"/>
        <w:numPr>
          <w:ilvl w:val="0"/>
          <w:numId w:val="3"/>
        </w:numPr>
        <w:spacing w:after="85" w:line="272"/>
        <w:jc w:val="both"/>
      </w:pPr>
      <w:r>
        <w:rPr>
          <w:b/>
          <w:bCs/>
        </w:rPr>
        <w:t xml:space="preserve">Proporção da empresa. </w:t>
      </w:r>
      <w:r>
        <w:t xml:space="preserve">Se o agrupamento também não atinge 30, usa a proporção dos textos de toda a empresa — se ≥30.</w:t>
      </w:r>
    </w:p>
    <w:p>
      <w:pPr>
        <w:pStyle w:val="ListParagraph"/>
        <w:numPr>
          <w:ilvl w:val="0"/>
          <w:numId w:val="3"/>
        </w:numPr>
        <w:spacing w:after="85" w:line="272"/>
        <w:jc w:val="both"/>
      </w:pPr>
      <w:r>
        <w:rPr>
          <w:b/>
          <w:bCs/>
        </w:rPr>
        <w:t xml:space="preserve">Distribuição igual (estado de arranque). </w:t>
      </w:r>
      <w:r>
        <w:t xml:space="preserve">Se nem a empresa atinge 30 textos, não há direção comprovada em lugar nenhum. Distribui igualmente nos primeiros subpilares de cada pilar (P1/D1/Pa1/A1). Não inventa direção; espalha parelho até o texto chegar.</w:t>
      </w:r>
    </w:p>
    <w:p>
      <w:pPr>
        <w:shd w:fill="F4ECDB" w:val="clear"/>
        <w:spacing w:after="140" w:before="100" w:line="276"/>
        <w:ind w:left="180" w:right="180"/>
      </w:pPr>
      <w:r>
        <w:rPr>
          <w:b/>
          <w:bCs/>
        </w:rPr>
        <w:t xml:space="preserve">Autocorreção. </w:t>
      </w:r>
      <w:r>
        <w:t xml:space="preserve">A cascata se conserta sozinha: conforme os textos chegam (coleta noturna), a loja sobe do nível 4 ao 1, e a distribuição ganha forma real. O nível 4 é só o ponto de partida, que se dissolve com a coleta.</w:t>
      </w:r>
    </w:p>
    <w:p>
      <w:pPr>
        <w:pStyle w:val="Heading2"/>
      </w:pPr>
      <w:r>
        <w:t xml:space="preserve">Piso único: 30 verbatins com texto</w:t>
      </w:r>
    </w:p>
    <w:p>
      <w:pPr>
        <w:spacing w:after="150" w:line="276"/>
        <w:jc w:val="both"/>
      </w:pPr>
      <w:r>
        <w:t xml:space="preserve">O mesmo piso (≥30 textos) é testado em cada nível da cascata. 30 por ser redondo e já usado no sistema (selo de engajamento). O teste é sempre sobre </w:t>
      </w:r>
      <w:r>
        <w:rPr>
          <w:b/>
          <w:bCs/>
        </w:rPr>
        <w:t xml:space="preserve">verbatins com texto</w:t>
      </w:r>
      <w:r>
        <w:t xml:space="preserve"> (que estabelecem causa) — símbolos não contam para atingir o piso.</w:t>
      </w:r>
    </w:p>
    <w:p>
      <w:pPr>
        <w:pStyle w:val="Heading2"/>
      </w:pPr>
      <w:r>
        <w:t xml:space="preserve">Subpilar dentro do pilar</w:t>
      </w:r>
    </w:p>
    <w:p>
      <w:pPr>
        <w:spacing w:after="150" w:line="276"/>
        <w:jc w:val="both"/>
      </w:pPr>
      <w:r>
        <w:t xml:space="preserve">A distribuição é por </w:t>
      </w:r>
      <w:r>
        <w:rPr>
          <w:b/>
          <w:bCs/>
        </w:rPr>
        <w:t xml:space="preserve">pilar</w:t>
      </w:r>
      <w:r>
        <w:t xml:space="preserve"> (P/D/Pa/A). Dentro do pilar sorteado, o símbolo vai ao </w:t>
      </w:r>
      <w:r>
        <w:rPr>
          <w:b/>
          <w:bCs/>
        </w:rPr>
        <w:t xml:space="preserve">subpilar mais comum entre os textos daquele escopo</w:t>
      </w:r>
      <w:r>
        <w:t xml:space="preserve"> — não distribui até o subpilar (a proporção ficaria esparsa demais). No nível 4, vai ao primeiro subpilar (P1/D1/Pa1/A1).</w:t>
      </w:r>
    </w:p>
    <w:p>
      <w:pPr>
        <w:pStyle w:val="Heading1"/>
      </w:pPr>
      <w:r>
        <w:t xml:space="preserve">4 · Ordem de cálculo — as duas regras de ouro</w:t>
      </w:r>
    </w:p>
    <w:p>
      <w:pPr>
        <w:pStyle w:val="ListParagraph"/>
        <w:numPr>
          <w:ilvl w:val="0"/>
          <w:numId w:val="4"/>
        </w:numPr>
        <w:spacing w:after="85" w:line="272"/>
        <w:jc w:val="both"/>
      </w:pPr>
      <w:r>
        <w:rPr>
          <w:b/>
          <w:bCs/>
        </w:rPr>
        <w:t xml:space="preserve">Coleta primeiro, conta depois. </w:t>
      </w:r>
      <w:r>
        <w:t xml:space="preserve">A distribuição NÃO ocorre durante a coleta (verbatim a verbatim) — senão a proporção mudaria a cada item e o mesmo símbolo seria distribuído diferente conforme a hora de chegada. Ela roda no 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pipeline-pos-coleta</w:t>
      </w:r>
      <w:r>
        <w:t xml:space="preserve">, uma vez, contra as proporções FINAIS e estáveis do conjunto completo. (Mesma lógica dos temas, que já rodam depois, sobre o conjunto fechado.)</w:t>
      </w:r>
    </w:p>
    <w:p>
      <w:pPr>
        <w:pStyle w:val="ListParagraph"/>
        <w:numPr>
          <w:ilvl w:val="0"/>
          <w:numId w:val="4"/>
        </w:numPr>
        <w:spacing w:after="85" w:line="272"/>
        <w:jc w:val="both"/>
      </w:pPr>
      <w:r>
        <w:rPr>
          <w:b/>
          <w:bCs/>
        </w:rPr>
        <w:t xml:space="preserve">Redistribui tudo a cada coleta. </w:t>
      </w:r>
      <w:r>
        <w:t xml:space="preserve">Como a coleta noturna traz textos novos que melhoram as proporções, TODOS os símbolos são reposicionados a cada pós-coleta contra a proporção mais atual — inclusive os antigos, que se beneficiam da base mais madura. Um símbolo de uma loja que estava no nível 4 há um mês e subiu ao nível 1 deve migrar para refletir a proporção nova.</w:t>
      </w:r>
    </w:p>
    <w:p>
      <w:pPr>
        <w:shd w:fill="F4ECDB" w:val="clear"/>
        <w:spacing w:after="140" w:before="100" w:line="276"/>
        <w:ind w:left="180" w:right="180"/>
      </w:pPr>
      <w:r>
        <w:rPr>
          <w:b/>
          <w:bCs/>
        </w:rPr>
        <w:t xml:space="preserve">Ponto técnico para o Code dimensionar: </w:t>
      </w:r>
      <w:r>
        <w:t xml:space="preserve">redistribuir todos os símbolos a cada pós-coleta tem custo de reprocessamento. Avaliar se é viável reprocessar o conjunto inteiro toda noite, ou se há uma forma incremental que preserve a corretude (proporção final, estável).</w:t>
      </w:r>
    </w:p>
    <w:p>
      <w:pPr>
        <w:pStyle w:val="Heading1"/>
      </w:pPr>
      <w:r>
        <w:t xml:space="preserve">5 · Presença por etapa — onde o símbolo entra</w:t>
      </w:r>
    </w:p>
    <w:p>
      <w:pPr>
        <w:spacing w:after="150" w:line="276"/>
        <w:jc w:val="both"/>
      </w:pPr>
      <w:r>
        <w:t xml:space="preserve">Mantém-se a divisão atual: símbolo </w:t>
      </w:r>
      <w:r>
        <w:rPr>
          <w:b/>
          <w:bCs/>
        </w:rPr>
        <w:t xml:space="preserve">fora da camada qualitativa</w:t>
      </w:r>
      <w:r>
        <w:t xml:space="preserve"> (sem texto, sem conteúdo a agrupar) e </w:t>
      </w:r>
      <w:r>
        <w:rPr>
          <w:b/>
          <w:bCs/>
        </w:rPr>
        <w:t xml:space="preserve">dentro da camada quantitativa</w:t>
      </w:r>
      <w:r>
        <w:t xml:space="preserve"> — agora distribuído pelos pilares certos, não mais todo em Pa1.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700"/>
        <w:gridCol w:w="3626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Temas / clusters / cruzamentos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fora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Sem embedding. Correto — mantém.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IA chat (contexto)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fora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Sem conteúdo a citar. Mantém.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Ratio / Índice / Conversíveis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2E7D46"/>
                <w:sz w:val="18"/>
                <w:szCs w:val="18"/>
              </w:rPr>
              <w:t xml:space="preserve">dentro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Agora pelos pilares distribuídos.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Previsibilidade / Evolução / Anomalias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2E7D46"/>
                <w:sz w:val="18"/>
                <w:szCs w:val="18"/>
              </w:rPr>
              <w:t xml:space="preserve">dentro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Via RatioMensal — segue a nova distribuição.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Proximidade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2E7D46"/>
                <w:sz w:val="18"/>
                <w:szCs w:val="18"/>
              </w:rPr>
              <w:t xml:space="preserve">dentro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Deixa de derivar só de Pa1.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Concentração (Gini) / Engajamento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2E7D46"/>
                <w:sz w:val="18"/>
                <w:szCs w:val="18"/>
              </w:rPr>
              <w:t xml:space="preserve">dentro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Detratores-símbolo distribuídos; volume mantém.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Diagnóstico (leitura LLM)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/>
                <w:bCs/>
                <w:color w:val="9A7B2E"/>
                <w:sz w:val="18"/>
                <w:szCs w:val="18"/>
              </w:rPr>
              <w:t xml:space="preserve">ver 5.1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Alinhar número e ilustração.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5.1 · Ressalva — leitura alinhada à base</w:t>
      </w:r>
    </w:p>
    <w:p>
      <w:pPr>
        <w:spacing w:after="150" w:line="276"/>
        <w:jc w:val="both"/>
      </w:pPr>
      <w:r>
        <w:t xml:space="preserve">Hoje a leitura LLM de um pilar é escrita sobre a estatística (com símbolo) mas ilustrada só com textos reais. Com a redistribuição, Parceria deixa de estar inflada e isso melhora. Recomenda-se que, onde um pilar tiver muito símbolo e pouco texto, a leitura reconheça “forte sinal de satisfação, detalhamento textual limitado” em vez de afirmar causa não dita.</w:t>
      </w:r>
    </w:p>
    <w:p>
      <w:pPr>
        <w:pStyle w:val="Heading1"/>
      </w:pPr>
      <w:r>
        <w:t xml:space="preserve">6 · Fora desta versão (v1)</w:t>
      </w:r>
    </w:p>
    <w:p>
      <w:pPr>
        <w:pStyle w:val="ListParagraph"/>
        <w:numPr>
          <w:ilvl w:val="0"/>
          <w:numId w:val="2"/>
        </w:numPr>
        <w:spacing w:after="75" w:line="268"/>
        <w:jc w:val="both"/>
      </w:pPr>
      <w:r>
        <w:rPr>
          <w:b/>
          <w:bCs/>
        </w:rPr>
        <w:t xml:space="preserve">Peso do símbolo no indicador. </w:t>
      </w:r>
      <w:r>
        <w:t xml:space="preserve">Hoje conta como 1 voto pleno; a confiança 0,2–0,4 é decorativa. Quanto um símbolo vale vs um texto é decisão de método posterior (v2).</w:t>
      </w:r>
    </w:p>
    <w:p>
      <w:pPr>
        <w:pStyle w:val="ListParagraph"/>
        <w:numPr>
          <w:ilvl w:val="0"/>
          <w:numId w:val="2"/>
        </w:numPr>
        <w:spacing w:after="75" w:line="268"/>
        <w:jc w:val="both"/>
      </w:pPr>
      <w:r>
        <w:rPr>
          <w:b/>
          <w:bCs/>
        </w:rPr>
        <w:t xml:space="preserve">Lojas de baixa densidade. </w:t>
      </w:r>
      <w:r>
        <w:t xml:space="preserve">Sem mecanismo novo — o indicador de engajamento já sinaliza. A cascata (nível 2/3/4) já cobre a distribuição quando a loja tem pouco texto.</w:t>
      </w:r>
    </w:p>
    <w:p>
      <w:pPr>
        <w:pStyle w:val="ListParagraph"/>
        <w:numPr>
          <w:ilvl w:val="0"/>
          <w:numId w:val="2"/>
        </w:numPr>
        <w:spacing w:after="75" w:line="268"/>
        <w:jc w:val="both"/>
      </w:pPr>
      <w:r>
        <w:rPr>
          <w:b/>
          <w:bCs/>
        </w:rPr>
        <w:t xml:space="preserve">Régua para outras escalas. </w:t>
      </w:r>
      <w:r>
        <w:t xml:space="preserve">Palmas, corações, joinha, 1–10 — irrelevante hoje (100% do símbolo é estrela Google; IG/FB desativados). Desenhar quando entrar fonte não-Google.</w:t>
      </w:r>
    </w:p>
    <w:p>
      <w:pPr>
        <w:pStyle w:val="Heading1"/>
      </w:pPr>
      <w:r>
        <w:t xml:space="preserve">7 · Pontos para o Code resolver na implementação</w:t>
      </w:r>
    </w:p>
    <w:p>
      <w:pPr>
        <w:pStyle w:val="ListParagraph"/>
        <w:numPr>
          <w:ilvl w:val="0"/>
          <w:numId w:val="5"/>
        </w:numPr>
        <w:spacing w:after="85" w:line="272"/>
        <w:jc w:val="both"/>
      </w:pPr>
      <w:r>
        <w:rPr>
          <w:b/>
          <w:bCs/>
        </w:rPr>
        <w:t xml:space="preserve">Custo da redistribuição total. </w:t>
      </w:r>
      <w:r>
        <w:t xml:space="preserve">Viável reprocessar todos os símbolos a cada pós-coleta? Ou abordagem incremental que preserve a proporção final estável?</w:t>
      </w:r>
    </w:p>
    <w:p>
      <w:pPr>
        <w:pStyle w:val="ListParagraph"/>
        <w:numPr>
          <w:ilvl w:val="0"/>
          <w:numId w:val="5"/>
        </w:numPr>
        <w:spacing w:after="85" w:line="272"/>
        <w:jc w:val="both"/>
      </w:pPr>
      <w:r>
        <w:rPr>
          <w:b/>
          <w:bCs/>
        </w:rPr>
        <w:t xml:space="preserve">Valência na distribuição igual (nível 4). </w:t>
      </w:r>
      <w:r>
        <w:t xml:space="preserve">Um 5★ distribuído igualmente vira (a) quatro frações de promotor, uma por pilar — mais limpo estatisticamente, mas quebra “1 verbatim = 1 voto inteiro”; ou (b) um pilar escolhido (rotativo) e entra inteiro lá — mantém contagem inteira, introduz aleatoriedade. Code avalia qual é viável sem quebrar a contagem dos indicadores.</w:t>
      </w:r>
    </w:p>
    <w:p>
      <w:pPr>
        <w:pStyle w:val="ListParagraph"/>
        <w:numPr>
          <w:ilvl w:val="0"/>
          <w:numId w:val="5"/>
        </w:numPr>
        <w:spacing w:after="85" w:line="272"/>
        <w:jc w:val="both"/>
      </w:pPr>
      <w:r>
        <w:rPr>
          <w:b/>
          <w:bCs/>
        </w:rPr>
        <w:t xml:space="preserve">Onde mora a proporção. </w:t>
      </w:r>
      <w:r>
        <w:t xml:space="preserve">Calcular e cachear a proporção por loja/agrupamento/empresa no pós-coleta (uma vez), em vez de recalcular por símbolo.</w:t>
      </w:r>
    </w:p>
    <w:p>
      <w:pPr>
        <w:pStyle w:val="ListParagraph"/>
        <w:numPr>
          <w:ilvl w:val="0"/>
          <w:numId w:val="5"/>
        </w:numPr>
        <w:spacing w:after="85" w:line="272"/>
        <w:jc w:val="both"/>
      </w:pPr>
      <w:r>
        <w:rPr>
          <w:b/>
          <w:bCs/>
        </w:rPr>
        <w:t xml:space="preserve">Reversibilidade / auditoria. </w:t>
      </w:r>
      <w:r>
        <w:t xml:space="preserve">Marcar claramente quais verbatins são símbolo-distribuído (vs texto-classificado) para poder rodar o diagnóstico “só-texto” e comparar — útil para validar o impacto e para a futura política de peso.</w:t>
      </w:r>
    </w:p>
    <w:p>
      <w:pPr>
        <w:pStyle w:val="Heading1"/>
      </w:pPr>
      <w:r>
        <w:t xml:space="preserve">8 · Resumo da decisão</w:t>
      </w:r>
    </w:p>
    <w:p>
      <w:pPr>
        <w:pStyle w:val="ListParagraph"/>
        <w:numPr>
          <w:ilvl w:val="0"/>
          <w:numId w:val="5"/>
        </w:numPr>
        <w:spacing w:after="85" w:line="272"/>
        <w:jc w:val="both"/>
      </w:pPr>
      <w:r>
        <w:rPr>
          <w:b/>
          <w:bCs/>
        </w:rPr>
        <w:t xml:space="preserve">Símbolo fica</w:t>
      </w:r>
      <w:r>
        <w:t xml:space="preserve"> — voz da maioria silenciosa.</w:t>
      </w:r>
    </w:p>
    <w:p>
      <w:pPr>
        <w:pStyle w:val="ListParagraph"/>
        <w:numPr>
          <w:ilvl w:val="0"/>
          <w:numId w:val="5"/>
        </w:numPr>
        <w:spacing w:after="85" w:line="272"/>
        <w:jc w:val="both"/>
      </w:pPr>
      <w:r>
        <w:rPr>
          <w:b/>
          <w:bCs/>
        </w:rPr>
        <w:t xml:space="preserve">Valência por nota mantida</w:t>
      </w:r>
      <w:r>
        <w:t xml:space="preserve"> — 5★ promotor, 4–3★ conversível, 2–1★ detrator.</w:t>
      </w:r>
    </w:p>
    <w:p>
      <w:pPr>
        <w:pStyle w:val="ListParagraph"/>
        <w:numPr>
          <w:ilvl w:val="0"/>
          <w:numId w:val="5"/>
        </w:numPr>
        <w:spacing w:after="85" w:line="272"/>
        <w:jc w:val="both"/>
      </w:pPr>
      <w:r>
        <w:rPr>
          <w:b/>
          <w:bCs/>
        </w:rPr>
        <w:t xml:space="preserve">Para de cair tudo em Parceria</w:t>
      </w:r>
      <w:r>
        <w:t xml:space="preserve"> — cascata: loja → agrupamento → empresa → distribuição igual, sempre por proporção de texto, piso de 30.</w:t>
      </w:r>
    </w:p>
    <w:p>
      <w:pPr>
        <w:pStyle w:val="ListParagraph"/>
        <w:numPr>
          <w:ilvl w:val="0"/>
          <w:numId w:val="5"/>
        </w:numPr>
        <w:spacing w:after="85" w:line="272"/>
        <w:jc w:val="both"/>
      </w:pPr>
      <w:r>
        <w:rPr>
          <w:b/>
          <w:bCs/>
        </w:rPr>
        <w:t xml:space="preserve">Coleta primeiro, conta depois</w:t>
      </w:r>
      <w:r>
        <w:t xml:space="preserve"> — distribuição no pós-coleta, sobre proporção final; redistribui tudo a cada coleta.</w:t>
      </w:r>
    </w:p>
    <w:p>
      <w:pPr>
        <w:pStyle w:val="ListParagraph"/>
        <w:numPr>
          <w:ilvl w:val="0"/>
          <w:numId w:val="5"/>
        </w:numPr>
        <w:spacing w:after="85" w:line="272"/>
        <w:jc w:val="both"/>
      </w:pPr>
      <w:r>
        <w:rPr>
          <w:b/>
          <w:bCs/>
        </w:rPr>
        <w:t xml:space="preserve">Símbolo fora da camada qualitativa</w:t>
      </w:r>
      <w:r>
        <w:t xml:space="preserve"> (temas/IA); dentro da quantitativa, nos pilares certos.</w:t>
      </w:r>
    </w:p>
    <w:p>
      <w:pPr>
        <w:pStyle w:val="ListParagraph"/>
        <w:numPr>
          <w:ilvl w:val="0"/>
          <w:numId w:val="5"/>
        </w:numPr>
        <w:spacing w:after="85" w:line="272"/>
        <w:jc w:val="both"/>
      </w:pPr>
      <w:r>
        <w:rPr>
          <w:b/>
          <w:bCs/>
        </w:rPr>
        <w:t xml:space="preserve">Peso fica para a v2</w:t>
      </w:r>
      <w:r>
        <w:t xml:space="preserve">.</w:t>
      </w:r>
    </w:p>
    <w:p>
      <w:pPr>
        <w:shd w:fill="F4ECDB" w:val="clear"/>
        <w:spacing w:after="140" w:before="100" w:line="276"/>
        <w:ind w:left="180" w:right="180"/>
      </w:pPr>
      <w:r>
        <w:rPr>
          <w:b/>
          <w:bCs/>
        </w:rPr>
        <w:t xml:space="preserve">Impacto esperado: </w:t>
      </w:r>
      <w:r>
        <w:t xml:space="preserve">dos 4.155 símbolos hoje em Parceria, cerca de 1.900 migram para outros pilares. Parceria encolhe; os demais crescem. O número não piora — fica verdadeiro. É o item de maior impacto na credibilidade do diagnóstico, porque corrige uma distorção já em produção.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Loyall Company  ·  PDPA  ·  Spec: Distribuição de Símbolos  ·  v1  ·  pág.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Nível %1 —"/>
      <w:lvlJc w:val="left"/>
      <w:pPr>
        <w:ind w:left="720" w:hanging="7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9A7B2E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10" w:before="200"/>
      <w:outlineLvl w:val="1"/>
    </w:pPr>
    <w:rPr>
      <w:rFonts w:ascii="Calibri" w:cs="Calibri" w:eastAsia="Calibri" w:hAnsi="Calibri"/>
      <w:b/>
      <w:bCs/>
      <w:color w:val="1A1A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PDPA — Spec: Distribuição de Símbolos</dc:title>
  <dc:creator>Loyall Company</dc:creator>
  <cp:lastModifiedBy>Un-named</cp:lastModifiedBy>
  <cp:revision>1</cp:revision>
  <dcterms:created xsi:type="dcterms:W3CDTF">2026-06-05T00:32:42.096Z</dcterms:created>
  <dcterms:modified xsi:type="dcterms:W3CDTF">2026-06-05T00:32:42.097Z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