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F3" w:rsidRDefault="000140F3" w:rsidP="000140F3">
      <w:pPr>
        <w:pStyle w:val="PaperNumber"/>
      </w:pPr>
    </w:p>
    <w:p w:rsidR="000140F3" w:rsidRDefault="000140F3" w:rsidP="000140F3">
      <w:pPr>
        <w:pStyle w:val="Title"/>
      </w:pPr>
      <w:r>
        <w:t xml:space="preserve">Low temperature </w:t>
      </w:r>
      <w:proofErr w:type="gramStart"/>
      <w:r>
        <w:t>combustion</w:t>
      </w:r>
      <w:r w:rsidR="00AA0437">
        <w:t>(</w:t>
      </w:r>
      <w:proofErr w:type="gramEnd"/>
      <w:r w:rsidR="00AA0437">
        <w:t>LTC)</w:t>
      </w:r>
      <w:r>
        <w:t xml:space="preserve"> strategies employed in a Diesel Engine </w:t>
      </w:r>
    </w:p>
    <w:p w:rsidR="000140F3" w:rsidRDefault="000140F3" w:rsidP="000140F3">
      <w:pPr>
        <w:pStyle w:val="Author"/>
      </w:pPr>
      <w:r>
        <w:t>Arjun Darbha</w:t>
      </w:r>
    </w:p>
    <w:p w:rsidR="000140F3" w:rsidRDefault="000140F3" w:rsidP="000140F3">
      <w:pPr>
        <w:pStyle w:val="Affiliation"/>
      </w:pPr>
      <w:r>
        <w:t>Michigan Technological Univer</w:t>
      </w:r>
      <w:r w:rsidR="0056682F">
        <w:t>si</w:t>
      </w:r>
      <w:r>
        <w:t>ty</w:t>
      </w:r>
    </w:p>
    <w:p w:rsidR="00852ACE" w:rsidRDefault="00852ACE" w:rsidP="000140F3">
      <w:pPr>
        <w:pStyle w:val="Affiliation"/>
      </w:pPr>
      <w:hyperlink r:id="rId8" w:history="1">
        <w:r w:rsidRPr="00577050">
          <w:rPr>
            <w:rStyle w:val="Hyperlink"/>
          </w:rPr>
          <w:t>adarbha@mtu.edu</w:t>
        </w:r>
      </w:hyperlink>
      <w:r>
        <w:t>,</w:t>
      </w:r>
    </w:p>
    <w:p w:rsidR="00852ACE" w:rsidRDefault="00852ACE" w:rsidP="000140F3">
      <w:pPr>
        <w:pStyle w:val="Affiliation"/>
      </w:pPr>
      <w:r>
        <w:t>906-370-3054</w:t>
      </w:r>
    </w:p>
    <w:p w:rsidR="000140F3" w:rsidRDefault="0093353B" w:rsidP="0093353B">
      <w:pPr>
        <w:jc w:val="right"/>
        <w:rPr>
          <w:rFonts w:ascii="Times New Roman" w:hAnsi="Times New Roman" w:cs="Times New Roman"/>
          <w:b/>
          <w:sz w:val="24"/>
        </w:rPr>
      </w:pPr>
      <w:r>
        <w:rPr>
          <w:noProof/>
        </w:rPr>
        <w:drawing>
          <wp:inline distT="0" distB="0" distL="0" distR="0">
            <wp:extent cx="774175" cy="933498"/>
            <wp:effectExtent l="19050" t="0" r="68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74175" cy="933498"/>
                    </a:xfrm>
                    <a:prstGeom prst="rect">
                      <a:avLst/>
                    </a:prstGeom>
                    <a:noFill/>
                    <a:ln w="9525">
                      <a:noFill/>
                      <a:miter lim="800000"/>
                      <a:headEnd/>
                      <a:tailEnd/>
                    </a:ln>
                  </pic:spPr>
                </pic:pic>
              </a:graphicData>
            </a:graphic>
          </wp:inline>
        </w:drawing>
      </w:r>
    </w:p>
    <w:p w:rsidR="0056682F" w:rsidRDefault="0056682F">
      <w:pPr>
        <w:rPr>
          <w:rFonts w:ascii="Times New Roman" w:hAnsi="Times New Roman" w:cs="Times New Roman"/>
          <w:b/>
          <w:sz w:val="24"/>
        </w:rPr>
        <w:sectPr w:rsidR="0056682F" w:rsidSect="000140F3">
          <w:footerReference w:type="default" r:id="rId10"/>
          <w:pgSz w:w="12240" w:h="15840"/>
          <w:pgMar w:top="990" w:right="1440" w:bottom="1440" w:left="1440" w:header="720" w:footer="720" w:gutter="0"/>
          <w:cols w:space="720"/>
          <w:docGrid w:linePitch="360"/>
        </w:sectPr>
      </w:pPr>
      <w:r>
        <w:rPr>
          <w:rFonts w:ascii="Times New Roman" w:hAnsi="Times New Roman" w:cs="Times New Roman"/>
          <w:b/>
          <w:sz w:val="24"/>
        </w:rPr>
        <w:t>Date: 11-1-2013</w:t>
      </w:r>
    </w:p>
    <w:p w:rsidR="001B6EB1" w:rsidRPr="0062141F" w:rsidRDefault="001B6EB1">
      <w:pPr>
        <w:rPr>
          <w:rFonts w:ascii="Times New Roman" w:hAnsi="Times New Roman" w:cs="Times New Roman"/>
          <w:b/>
          <w:sz w:val="24"/>
        </w:rPr>
      </w:pPr>
      <w:r w:rsidRPr="0062141F">
        <w:rPr>
          <w:rFonts w:ascii="Times New Roman" w:hAnsi="Times New Roman" w:cs="Times New Roman"/>
          <w:b/>
          <w:sz w:val="24"/>
        </w:rPr>
        <w:lastRenderedPageBreak/>
        <w:t>Abstract</w:t>
      </w:r>
    </w:p>
    <w:p w:rsidR="00986642" w:rsidRPr="005555A3" w:rsidRDefault="00986642">
      <w:pPr>
        <w:rPr>
          <w:rFonts w:ascii="Times New Roman" w:hAnsi="Times New Roman" w:cs="Times New Roman"/>
          <w:sz w:val="24"/>
        </w:rPr>
      </w:pPr>
      <w:r>
        <w:rPr>
          <w:rFonts w:ascii="Times New Roman" w:hAnsi="Times New Roman" w:cs="Times New Roman"/>
          <w:sz w:val="24"/>
        </w:rPr>
        <w:t>Diesel engines are subject to strict emis</w:t>
      </w:r>
      <w:r w:rsidR="00470B43">
        <w:rPr>
          <w:rFonts w:ascii="Times New Roman" w:hAnsi="Times New Roman" w:cs="Times New Roman"/>
          <w:sz w:val="24"/>
        </w:rPr>
        <w:t xml:space="preserve">sion control regulations and these rules are getting stricter by the decade. Emissions that are strictly monitored are </w:t>
      </w:r>
      <w:proofErr w:type="spellStart"/>
      <w:r w:rsidR="00470B43">
        <w:rPr>
          <w:rFonts w:ascii="Times New Roman" w:hAnsi="Times New Roman" w:cs="Times New Roman"/>
          <w:sz w:val="24"/>
        </w:rPr>
        <w:t>NOx</w:t>
      </w:r>
      <w:proofErr w:type="spellEnd"/>
      <w:r w:rsidR="00470B43">
        <w:rPr>
          <w:rFonts w:ascii="Times New Roman" w:hAnsi="Times New Roman" w:cs="Times New Roman"/>
          <w:sz w:val="24"/>
        </w:rPr>
        <w:t xml:space="preserve">, UHC and soot. </w:t>
      </w:r>
      <w:r w:rsidR="005555A3">
        <w:rPr>
          <w:rFonts w:ascii="Times New Roman" w:hAnsi="Times New Roman" w:cs="Times New Roman"/>
          <w:sz w:val="24"/>
        </w:rPr>
        <w:t xml:space="preserve">It has been experimentally verified that </w:t>
      </w:r>
      <w:proofErr w:type="spellStart"/>
      <w:r w:rsidR="005555A3">
        <w:rPr>
          <w:rFonts w:ascii="Times New Roman" w:hAnsi="Times New Roman" w:cs="Times New Roman"/>
          <w:sz w:val="24"/>
        </w:rPr>
        <w:t>NO</w:t>
      </w:r>
      <w:r w:rsidR="005555A3" w:rsidRPr="005555A3">
        <w:rPr>
          <w:rFonts w:ascii="Times New Roman" w:hAnsi="Times New Roman" w:cs="Times New Roman"/>
          <w:sz w:val="24"/>
          <w:vertAlign w:val="subscript"/>
        </w:rPr>
        <w:t>x</w:t>
      </w:r>
      <w:proofErr w:type="spellEnd"/>
      <w:r w:rsidR="005555A3">
        <w:rPr>
          <w:rFonts w:ascii="Times New Roman" w:hAnsi="Times New Roman" w:cs="Times New Roman"/>
          <w:sz w:val="24"/>
        </w:rPr>
        <w:t xml:space="preserve"> reduces when temperature of the combustion chamber is decreased. However, t</w:t>
      </w:r>
      <w:r w:rsidR="008159D3">
        <w:rPr>
          <w:rFonts w:ascii="Times New Roman" w:hAnsi="Times New Roman" w:cs="Times New Roman"/>
          <w:sz w:val="24"/>
        </w:rPr>
        <w:t xml:space="preserve">his increases PM and UHC emissions. Strategies applied to reduce temperature and hence emissions in a diesel engine are known as LTC strategies. In this report two different LTC strategies are </w:t>
      </w:r>
      <w:r w:rsidR="001D0D96">
        <w:rPr>
          <w:rFonts w:ascii="Times New Roman" w:hAnsi="Times New Roman" w:cs="Times New Roman"/>
          <w:sz w:val="24"/>
        </w:rPr>
        <w:t>discussed. Experimental procedures used to determine the variables which affect temperature in each are also discussed. It has been experimentally verified that Injection pressure, Ignition delay and EGR are most important factors on which emissions from a diesel engine depends upon.</w:t>
      </w:r>
    </w:p>
    <w:p w:rsidR="001B6EB1" w:rsidRPr="0062141F" w:rsidRDefault="001B6EB1">
      <w:pPr>
        <w:rPr>
          <w:rFonts w:ascii="Times New Roman" w:hAnsi="Times New Roman" w:cs="Times New Roman"/>
          <w:b/>
          <w:sz w:val="24"/>
        </w:rPr>
      </w:pPr>
      <w:r w:rsidRPr="0062141F">
        <w:rPr>
          <w:rFonts w:ascii="Times New Roman" w:hAnsi="Times New Roman" w:cs="Times New Roman"/>
          <w:b/>
          <w:sz w:val="24"/>
        </w:rPr>
        <w:t>Introduction</w:t>
      </w:r>
    </w:p>
    <w:p w:rsidR="001B6EB1" w:rsidRDefault="001B6EB1">
      <w:pPr>
        <w:rPr>
          <w:rFonts w:ascii="Times New Roman" w:hAnsi="Times New Roman" w:cs="Times New Roman"/>
          <w:sz w:val="24"/>
        </w:rPr>
      </w:pPr>
      <w:r>
        <w:rPr>
          <w:rFonts w:ascii="Times New Roman" w:hAnsi="Times New Roman" w:cs="Times New Roman"/>
          <w:sz w:val="24"/>
        </w:rPr>
        <w:t xml:space="preserve">Recent decades have witnessed huge reductions in the limits of emissions from diesel engines. Pollutants that are usually monitored are </w:t>
      </w:r>
      <w:proofErr w:type="spellStart"/>
      <w:r>
        <w:rPr>
          <w:rFonts w:ascii="Times New Roman" w:hAnsi="Times New Roman" w:cs="Times New Roman"/>
          <w:sz w:val="24"/>
        </w:rPr>
        <w:t>NO</w:t>
      </w:r>
      <w:r w:rsidRPr="001B6EB1">
        <w:rPr>
          <w:rFonts w:ascii="Times New Roman" w:hAnsi="Times New Roman" w:cs="Times New Roman"/>
          <w:sz w:val="24"/>
          <w:vertAlign w:val="subscript"/>
        </w:rPr>
        <w:t>x</w:t>
      </w:r>
      <w:proofErr w:type="spellEnd"/>
      <w:r>
        <w:rPr>
          <w:rFonts w:ascii="Times New Roman" w:hAnsi="Times New Roman" w:cs="Times New Roman"/>
          <w:sz w:val="24"/>
        </w:rPr>
        <w:t xml:space="preserve">, particulate matter (PM), unburned hydrocarbons (UHC) and CO (emissions). When compared 1990s, </w:t>
      </w:r>
      <w:proofErr w:type="spellStart"/>
      <w:r>
        <w:rPr>
          <w:rFonts w:ascii="Times New Roman" w:hAnsi="Times New Roman" w:cs="Times New Roman"/>
          <w:sz w:val="24"/>
        </w:rPr>
        <w:t>NO</w:t>
      </w:r>
      <w:r w:rsidRPr="001B6EB1">
        <w:rPr>
          <w:rFonts w:ascii="Times New Roman" w:hAnsi="Times New Roman" w:cs="Times New Roman"/>
          <w:sz w:val="24"/>
          <w:vertAlign w:val="subscript"/>
        </w:rPr>
        <w:t>x</w:t>
      </w:r>
      <w:proofErr w:type="spellEnd"/>
      <w:r w:rsidR="00C10325">
        <w:rPr>
          <w:rFonts w:ascii="Times New Roman" w:hAnsi="Times New Roman" w:cs="Times New Roman"/>
          <w:sz w:val="24"/>
        </w:rPr>
        <w:t>, PM and UHC levels</w:t>
      </w:r>
      <w:r>
        <w:rPr>
          <w:rFonts w:ascii="Times New Roman" w:hAnsi="Times New Roman" w:cs="Times New Roman"/>
          <w:sz w:val="24"/>
        </w:rPr>
        <w:t xml:space="preserve"> that are permitted are </w:t>
      </w:r>
      <w:r w:rsidR="00C10325">
        <w:rPr>
          <w:rFonts w:ascii="Times New Roman" w:hAnsi="Times New Roman" w:cs="Times New Roman"/>
          <w:sz w:val="24"/>
        </w:rPr>
        <w:t xml:space="preserve">only 3-12%, 2% and 6-12% respectively. The Euro IV standards, followed by Europe and Asian countries, have stricter limits compared to the US limits on emissions. Pollutant emissions from a diesel engine mentioned previously is a function of temperature. </w:t>
      </w:r>
      <w:proofErr w:type="spellStart"/>
      <w:r w:rsidR="00C10325">
        <w:rPr>
          <w:rFonts w:ascii="Times New Roman" w:hAnsi="Times New Roman" w:cs="Times New Roman"/>
          <w:sz w:val="24"/>
        </w:rPr>
        <w:t>NO</w:t>
      </w:r>
      <w:r w:rsidR="00C10325" w:rsidRPr="00C10325">
        <w:rPr>
          <w:rFonts w:ascii="Times New Roman" w:hAnsi="Times New Roman" w:cs="Times New Roman"/>
          <w:sz w:val="24"/>
          <w:vertAlign w:val="subscript"/>
        </w:rPr>
        <w:t>x</w:t>
      </w:r>
      <w:proofErr w:type="spellEnd"/>
      <w:r w:rsidR="00C10325">
        <w:rPr>
          <w:rFonts w:ascii="Times New Roman" w:hAnsi="Times New Roman" w:cs="Times New Roman"/>
          <w:sz w:val="24"/>
        </w:rPr>
        <w:t xml:space="preserve"> formation occurs at temperatures above 2000K and rises exponentially with increasing temperature.</w:t>
      </w:r>
      <w:r w:rsidR="002314A0">
        <w:rPr>
          <w:rFonts w:ascii="Times New Roman" w:hAnsi="Times New Roman" w:cs="Times New Roman"/>
          <w:sz w:val="24"/>
        </w:rPr>
        <w:t xml:space="preserve"> Therefore, in order to reduce the in-cylinder combustion temperature, several techniques </w:t>
      </w:r>
      <w:r w:rsidR="002314A0">
        <w:rPr>
          <w:rFonts w:ascii="Times New Roman" w:hAnsi="Times New Roman" w:cs="Times New Roman"/>
          <w:sz w:val="24"/>
        </w:rPr>
        <w:lastRenderedPageBreak/>
        <w:t>are used and are collecti</w:t>
      </w:r>
      <w:r w:rsidR="00960F4B">
        <w:rPr>
          <w:rFonts w:ascii="Times New Roman" w:hAnsi="Times New Roman" w:cs="Times New Roman"/>
          <w:sz w:val="24"/>
        </w:rPr>
        <w:t>vely called</w:t>
      </w:r>
      <w:r w:rsidR="002314A0">
        <w:rPr>
          <w:rFonts w:ascii="Times New Roman" w:hAnsi="Times New Roman" w:cs="Times New Roman"/>
          <w:sz w:val="24"/>
        </w:rPr>
        <w:t xml:space="preserve"> </w:t>
      </w:r>
      <w:r w:rsidR="00960F4B">
        <w:rPr>
          <w:rFonts w:ascii="Times New Roman" w:hAnsi="Times New Roman" w:cs="Times New Roman"/>
          <w:sz w:val="24"/>
        </w:rPr>
        <w:t>LTC strategies.</w:t>
      </w:r>
      <w:r w:rsidR="00A70DF1">
        <w:rPr>
          <w:rFonts w:ascii="Times New Roman" w:hAnsi="Times New Roman" w:cs="Times New Roman"/>
          <w:sz w:val="24"/>
        </w:rPr>
        <w:t xml:space="preserve"> Almost all LTC strategies reduce combustion temperature by using varying levels of EGR for dilution of fuel-air mixture.</w:t>
      </w:r>
      <w:r w:rsidR="00C10325">
        <w:rPr>
          <w:rFonts w:ascii="Times New Roman" w:hAnsi="Times New Roman" w:cs="Times New Roman"/>
          <w:sz w:val="24"/>
        </w:rPr>
        <w:t xml:space="preserve"> PM emissions are also a function of temperature; however, reducing combustion temperature alone will not ensure l</w:t>
      </w:r>
      <w:r w:rsidR="002314A0">
        <w:rPr>
          <w:rFonts w:ascii="Times New Roman" w:hAnsi="Times New Roman" w:cs="Times New Roman"/>
          <w:sz w:val="24"/>
        </w:rPr>
        <w:t>ower PM emissions. High EGR rates do result in lower in PM emissions, but this reduces the combustion</w:t>
      </w:r>
      <w:r w:rsidR="00E255E8">
        <w:rPr>
          <w:rFonts w:ascii="Times New Roman" w:hAnsi="Times New Roman" w:cs="Times New Roman"/>
          <w:sz w:val="24"/>
        </w:rPr>
        <w:t xml:space="preserve"> efficiency and results in UHC. The other after-effect of high EGR </w:t>
      </w:r>
      <w:r w:rsidR="00A70DF1">
        <w:rPr>
          <w:rFonts w:ascii="Times New Roman" w:hAnsi="Times New Roman" w:cs="Times New Roman"/>
          <w:sz w:val="24"/>
        </w:rPr>
        <w:t>is CO emissions. As the dilution results in a fuel-lean mixture, it becomes imperative that fuel is mixed thoroughly before ignition. LTC strategies broadly describe techniques for optimum fuel injection, for in-cylinder mixing</w:t>
      </w:r>
      <w:r w:rsidR="003D51F9">
        <w:rPr>
          <w:rFonts w:ascii="Times New Roman" w:hAnsi="Times New Roman" w:cs="Times New Roman"/>
          <w:sz w:val="24"/>
        </w:rPr>
        <w:t xml:space="preserve"> and EGR levels for dilution. Homogeneous-charge compression ignition, which is often described as one of the LTCs is not discussed in this work as HCCI relies heavily on mixing of the fuel such that there are no fuel-rich pockets in the mixture – this is because of very early inject</w:t>
      </w:r>
      <w:r w:rsidR="00A42C8E">
        <w:rPr>
          <w:rFonts w:ascii="Times New Roman" w:hAnsi="Times New Roman" w:cs="Times New Roman"/>
          <w:sz w:val="24"/>
        </w:rPr>
        <w:t>ion of fuel into the chamber. PP</w:t>
      </w:r>
      <w:r w:rsidR="003D51F9">
        <w:rPr>
          <w:rFonts w:ascii="Times New Roman" w:hAnsi="Times New Roman" w:cs="Times New Roman"/>
          <w:sz w:val="24"/>
        </w:rPr>
        <w:t xml:space="preserve">CI-partially premixed compression ignition – which is the topic of discussion of this work </w:t>
      </w:r>
      <w:r w:rsidR="00E731D3">
        <w:rPr>
          <w:rFonts w:ascii="Times New Roman" w:hAnsi="Times New Roman" w:cs="Times New Roman"/>
          <w:sz w:val="24"/>
        </w:rPr>
        <w:t>–</w:t>
      </w:r>
      <w:r w:rsidR="003D51F9">
        <w:rPr>
          <w:rFonts w:ascii="Times New Roman" w:hAnsi="Times New Roman" w:cs="Times New Roman"/>
          <w:sz w:val="24"/>
        </w:rPr>
        <w:t xml:space="preserve"> </w:t>
      </w:r>
      <w:r w:rsidR="00E731D3">
        <w:rPr>
          <w:rFonts w:ascii="Times New Roman" w:hAnsi="Times New Roman" w:cs="Times New Roman"/>
          <w:sz w:val="24"/>
        </w:rPr>
        <w:t>operate</w:t>
      </w:r>
      <w:r w:rsidR="00A42C8E">
        <w:rPr>
          <w:rFonts w:ascii="Times New Roman" w:hAnsi="Times New Roman" w:cs="Times New Roman"/>
          <w:sz w:val="24"/>
        </w:rPr>
        <w:t>s</w:t>
      </w:r>
      <w:r w:rsidR="00E731D3">
        <w:rPr>
          <w:rFonts w:ascii="Times New Roman" w:hAnsi="Times New Roman" w:cs="Times New Roman"/>
          <w:sz w:val="24"/>
        </w:rPr>
        <w:t xml:space="preserve"> closer to conventional d</w:t>
      </w:r>
      <w:r w:rsidR="00A42C8E">
        <w:rPr>
          <w:rFonts w:ascii="Times New Roman" w:hAnsi="Times New Roman" w:cs="Times New Roman"/>
          <w:sz w:val="24"/>
        </w:rPr>
        <w:t>iesel engines, but do involve sa</w:t>
      </w:r>
      <w:r w:rsidR="00E731D3">
        <w:rPr>
          <w:rFonts w:ascii="Times New Roman" w:hAnsi="Times New Roman" w:cs="Times New Roman"/>
          <w:sz w:val="24"/>
        </w:rPr>
        <w:t xml:space="preserve">me </w:t>
      </w:r>
      <w:r w:rsidR="00A42C8E">
        <w:rPr>
          <w:rFonts w:ascii="Times New Roman" w:hAnsi="Times New Roman" w:cs="Times New Roman"/>
          <w:sz w:val="24"/>
        </w:rPr>
        <w:t xml:space="preserve">levels of </w:t>
      </w:r>
      <w:r w:rsidR="00E731D3">
        <w:rPr>
          <w:rFonts w:ascii="Times New Roman" w:hAnsi="Times New Roman" w:cs="Times New Roman"/>
          <w:sz w:val="24"/>
        </w:rPr>
        <w:t xml:space="preserve">pre-mixing and </w:t>
      </w:r>
      <w:r w:rsidR="00A42C8E">
        <w:rPr>
          <w:rFonts w:ascii="Times New Roman" w:hAnsi="Times New Roman" w:cs="Times New Roman"/>
          <w:sz w:val="24"/>
        </w:rPr>
        <w:t xml:space="preserve">has </w:t>
      </w:r>
      <w:r w:rsidR="00E731D3">
        <w:rPr>
          <w:rFonts w:ascii="Times New Roman" w:hAnsi="Times New Roman" w:cs="Times New Roman"/>
          <w:sz w:val="24"/>
        </w:rPr>
        <w:t>a positive ignition dwell. PPCI strategies usually inject the fuel into a cooler and l</w:t>
      </w:r>
      <w:r w:rsidR="005B23DD">
        <w:rPr>
          <w:rFonts w:ascii="Times New Roman" w:hAnsi="Times New Roman" w:cs="Times New Roman"/>
          <w:sz w:val="24"/>
        </w:rPr>
        <w:t>ess dense charge which can be achieved by early or late injection with respect to the TDC. Pre-ignition chemistry is further slowed down due to the ignition delaying effects of EGR.</w:t>
      </w:r>
      <w:r w:rsidR="00084ACC">
        <w:rPr>
          <w:rFonts w:ascii="Times New Roman" w:hAnsi="Times New Roman" w:cs="Times New Roman"/>
          <w:sz w:val="24"/>
        </w:rPr>
        <w:t xml:space="preserve"> PPCI strategies are subdivided into two categories. First category is developed by Nissan and is called ‘Modulated Kinetics’ where fuel is injected near TDC or in expansion stroke. Other category investigates early injection PPCI, where the fuel is injected early in the compression </w:t>
      </w:r>
      <w:r w:rsidR="00084ACC">
        <w:rPr>
          <w:rFonts w:ascii="Times New Roman" w:hAnsi="Times New Roman" w:cs="Times New Roman"/>
          <w:sz w:val="24"/>
        </w:rPr>
        <w:lastRenderedPageBreak/>
        <w:t xml:space="preserve">stroke, before piston reaches </w:t>
      </w:r>
      <w:proofErr w:type="gramStart"/>
      <w:r w:rsidR="00084ACC">
        <w:rPr>
          <w:rFonts w:ascii="Times New Roman" w:hAnsi="Times New Roman" w:cs="Times New Roman"/>
          <w:sz w:val="24"/>
        </w:rPr>
        <w:t>TDC</w:t>
      </w:r>
      <w:r w:rsidR="00A57933">
        <w:rPr>
          <w:rFonts w:ascii="Times New Roman" w:hAnsi="Times New Roman" w:cs="Times New Roman"/>
          <w:sz w:val="24"/>
        </w:rPr>
        <w:t>[</w:t>
      </w:r>
      <w:proofErr w:type="gramEnd"/>
      <w:r w:rsidR="00A57933">
        <w:rPr>
          <w:rFonts w:ascii="Times New Roman" w:hAnsi="Times New Roman" w:cs="Times New Roman"/>
          <w:sz w:val="24"/>
        </w:rPr>
        <w:t>3]</w:t>
      </w:r>
      <w:r w:rsidR="00084ACC">
        <w:rPr>
          <w:rFonts w:ascii="Times New Roman" w:hAnsi="Times New Roman" w:cs="Times New Roman"/>
          <w:sz w:val="24"/>
        </w:rPr>
        <w:t>.</w:t>
      </w:r>
      <w:r w:rsidR="00D40597">
        <w:rPr>
          <w:rFonts w:ascii="Times New Roman" w:hAnsi="Times New Roman" w:cs="Times New Roman"/>
          <w:sz w:val="24"/>
        </w:rPr>
        <w:t xml:space="preserve"> LTC strategies are also gaining importance because they do not require after treatment devices to reduce emissions.</w:t>
      </w:r>
    </w:p>
    <w:p w:rsidR="00084ACC" w:rsidRPr="0062141F" w:rsidRDefault="004A2A7D">
      <w:pPr>
        <w:rPr>
          <w:rFonts w:ascii="Times New Roman" w:hAnsi="Times New Roman" w:cs="Times New Roman"/>
          <w:b/>
          <w:sz w:val="24"/>
        </w:rPr>
      </w:pPr>
      <w:r w:rsidRPr="0062141F">
        <w:rPr>
          <w:rFonts w:ascii="Times New Roman" w:hAnsi="Times New Roman" w:cs="Times New Roman"/>
          <w:b/>
          <w:sz w:val="24"/>
        </w:rPr>
        <w:t>Modular Kinetics (MK)</w:t>
      </w:r>
    </w:p>
    <w:p w:rsidR="006900E9" w:rsidRDefault="00D61687">
      <w:pPr>
        <w:rPr>
          <w:rFonts w:ascii="Times New Roman" w:hAnsi="Times New Roman" w:cs="Times New Roman"/>
          <w:sz w:val="24"/>
        </w:rPr>
      </w:pPr>
      <w:r>
        <w:rPr>
          <w:rFonts w:ascii="Times New Roman" w:hAnsi="Times New Roman" w:cs="Times New Roman"/>
          <w:sz w:val="24"/>
        </w:rPr>
        <w:t xml:space="preserve"> </w:t>
      </w:r>
      <w:r w:rsidR="00447747">
        <w:rPr>
          <w:rFonts w:ascii="Times New Roman" w:hAnsi="Times New Roman" w:cs="Times New Roman"/>
          <w:sz w:val="24"/>
        </w:rPr>
        <w:t xml:space="preserve">This is a late PPCI where fuel is injected close to TDC, very early into the expansion stroke. </w:t>
      </w:r>
      <w:r>
        <w:rPr>
          <w:rFonts w:ascii="Times New Roman" w:hAnsi="Times New Roman" w:cs="Times New Roman"/>
          <w:sz w:val="24"/>
        </w:rPr>
        <w:t xml:space="preserve">It has been experimentally observed that </w:t>
      </w:r>
      <w:proofErr w:type="spellStart"/>
      <w:r>
        <w:rPr>
          <w:rFonts w:ascii="Times New Roman" w:hAnsi="Times New Roman" w:cs="Times New Roman"/>
          <w:sz w:val="24"/>
        </w:rPr>
        <w:t>NO</w:t>
      </w:r>
      <w:r w:rsidRPr="00D61687">
        <w:rPr>
          <w:rFonts w:ascii="Times New Roman" w:hAnsi="Times New Roman" w:cs="Times New Roman"/>
          <w:sz w:val="24"/>
          <w:vertAlign w:val="subscript"/>
        </w:rPr>
        <w:t>x</w:t>
      </w:r>
      <w:proofErr w:type="spellEnd"/>
      <w:r>
        <w:rPr>
          <w:rFonts w:ascii="Times New Roman" w:hAnsi="Times New Roman" w:cs="Times New Roman"/>
          <w:sz w:val="24"/>
          <w:vertAlign w:val="subscript"/>
        </w:rPr>
        <w:t xml:space="preserve"> </w:t>
      </w:r>
      <w:r>
        <w:rPr>
          <w:rFonts w:ascii="Times New Roman" w:hAnsi="Times New Roman" w:cs="Times New Roman"/>
          <w:sz w:val="24"/>
        </w:rPr>
        <w:t xml:space="preserve">reduces with reduction in </w:t>
      </w:r>
      <w:proofErr w:type="gramStart"/>
      <w:r>
        <w:rPr>
          <w:rFonts w:ascii="Times New Roman" w:hAnsi="Times New Roman" w:cs="Times New Roman"/>
          <w:sz w:val="24"/>
        </w:rPr>
        <w:t>O</w:t>
      </w:r>
      <w:r w:rsidRPr="00D61687">
        <w:rPr>
          <w:rFonts w:ascii="Times New Roman" w:hAnsi="Times New Roman" w:cs="Times New Roman"/>
          <w:sz w:val="24"/>
          <w:vertAlign w:val="subscript"/>
        </w:rPr>
        <w:t>2</w:t>
      </w:r>
      <w:r>
        <w:rPr>
          <w:rFonts w:ascii="Times New Roman" w:hAnsi="Times New Roman" w:cs="Times New Roman"/>
          <w:sz w:val="24"/>
          <w:vertAlign w:val="subscript"/>
        </w:rPr>
        <w:t xml:space="preserve"> </w:t>
      </w:r>
      <w:r w:rsidR="00447747">
        <w:rPr>
          <w:rFonts w:ascii="Times New Roman" w:hAnsi="Times New Roman" w:cs="Times New Roman"/>
          <w:sz w:val="24"/>
          <w:vertAlign w:val="subscript"/>
        </w:rPr>
        <w:t xml:space="preserve"> </w:t>
      </w:r>
      <w:r w:rsidR="00447747">
        <w:rPr>
          <w:rFonts w:ascii="Times New Roman" w:hAnsi="Times New Roman" w:cs="Times New Roman"/>
          <w:sz w:val="24"/>
        </w:rPr>
        <w:t>concentration</w:t>
      </w:r>
      <w:proofErr w:type="gramEnd"/>
      <w:r w:rsidR="00447747">
        <w:rPr>
          <w:rFonts w:ascii="Times New Roman" w:hAnsi="Times New Roman" w:cs="Times New Roman"/>
          <w:sz w:val="24"/>
        </w:rPr>
        <w:t xml:space="preserve"> </w:t>
      </w:r>
      <w:r>
        <w:rPr>
          <w:rFonts w:ascii="Times New Roman" w:hAnsi="Times New Roman" w:cs="Times New Roman"/>
          <w:sz w:val="24"/>
        </w:rPr>
        <w:t>which is achieved in MK by incorporating EGR in</w:t>
      </w:r>
      <w:r w:rsidR="00447747">
        <w:rPr>
          <w:rFonts w:ascii="Times New Roman" w:hAnsi="Times New Roman" w:cs="Times New Roman"/>
          <w:sz w:val="24"/>
        </w:rPr>
        <w:t>to</w:t>
      </w:r>
      <w:r>
        <w:rPr>
          <w:rFonts w:ascii="Times New Roman" w:hAnsi="Times New Roman" w:cs="Times New Roman"/>
          <w:sz w:val="24"/>
        </w:rPr>
        <w:t xml:space="preserve"> the intake. However, this results in smoke due to lack of homogeneity in the mixture. To reduce smoke, premixed combustion is desired. Fuel injected into the combustion chamber needs some time to mix homogeneously with the charge gas. Fuel injection </w:t>
      </w:r>
      <w:r w:rsidR="006900E9">
        <w:rPr>
          <w:rFonts w:ascii="Times New Roman" w:hAnsi="Times New Roman" w:cs="Times New Roman"/>
          <w:sz w:val="24"/>
        </w:rPr>
        <w:t>timing is retarded to ensure that mixture is sufficien</w:t>
      </w:r>
      <w:r w:rsidR="00A42C8E">
        <w:rPr>
          <w:rFonts w:ascii="Times New Roman" w:hAnsi="Times New Roman" w:cs="Times New Roman"/>
          <w:sz w:val="24"/>
        </w:rPr>
        <w:t>tly mixed. Combustion chamber</w:t>
      </w:r>
      <w:r w:rsidR="006900E9">
        <w:rPr>
          <w:rFonts w:ascii="Times New Roman" w:hAnsi="Times New Roman" w:cs="Times New Roman"/>
          <w:sz w:val="24"/>
        </w:rPr>
        <w:t xml:space="preserve"> design is also changed so that the swirl ratio is higher. An experiment has been</w:t>
      </w:r>
      <w:r w:rsidR="00447747">
        <w:rPr>
          <w:rFonts w:ascii="Times New Roman" w:hAnsi="Times New Roman" w:cs="Times New Roman"/>
          <w:sz w:val="24"/>
        </w:rPr>
        <w:t xml:space="preserve"> setup to compare the heat release</w:t>
      </w:r>
      <w:r w:rsidR="006900E9">
        <w:rPr>
          <w:rFonts w:ascii="Times New Roman" w:hAnsi="Times New Roman" w:cs="Times New Roman"/>
          <w:sz w:val="24"/>
        </w:rPr>
        <w:t xml:space="preserve"> profiles of engine running on MK, with a conventional diesel engine. From figure 1, it is evident that high EGR heat release in case of MK combustion occurs at a later point </w:t>
      </w:r>
    </w:p>
    <w:p w:rsidR="006900E9" w:rsidRDefault="006900E9" w:rsidP="006900E9">
      <w:pPr>
        <w:keepNext/>
        <w:jc w:val="center"/>
      </w:pPr>
      <w:r>
        <w:rPr>
          <w:rFonts w:ascii="Times New Roman" w:hAnsi="Times New Roman" w:cs="Times New Roman"/>
          <w:noProof/>
          <w:sz w:val="24"/>
        </w:rPr>
        <w:lastRenderedPageBreak/>
        <w:drawing>
          <wp:inline distT="0" distB="0" distL="0" distR="0">
            <wp:extent cx="2612832" cy="21786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14750" cy="2180256"/>
                    </a:xfrm>
                    <a:prstGeom prst="rect">
                      <a:avLst/>
                    </a:prstGeom>
                    <a:noFill/>
                    <a:ln w="9525">
                      <a:noFill/>
                      <a:miter lim="800000"/>
                      <a:headEnd/>
                      <a:tailEnd/>
                    </a:ln>
                  </pic:spPr>
                </pic:pic>
              </a:graphicData>
            </a:graphic>
          </wp:inline>
        </w:drawing>
      </w:r>
    </w:p>
    <w:p w:rsidR="006900E9" w:rsidRPr="006900E9" w:rsidRDefault="006900E9" w:rsidP="006900E9">
      <w:pPr>
        <w:pStyle w:val="Caption"/>
        <w:jc w:val="center"/>
        <w:rPr>
          <w:rFonts w:ascii="Times New Roman" w:hAnsi="Times New Roman" w:cs="Times New Roman"/>
          <w:color w:val="auto"/>
          <w:sz w:val="20"/>
        </w:rPr>
      </w:pPr>
      <w:r w:rsidRPr="006900E9">
        <w:rPr>
          <w:rFonts w:ascii="Times New Roman" w:hAnsi="Times New Roman" w:cs="Times New Roman"/>
          <w:color w:val="auto"/>
          <w:sz w:val="20"/>
        </w:rPr>
        <w:t xml:space="preserve">Figure </w:t>
      </w:r>
      <w:r w:rsidR="00E07412" w:rsidRPr="006900E9">
        <w:rPr>
          <w:rFonts w:ascii="Times New Roman" w:hAnsi="Times New Roman" w:cs="Times New Roman"/>
          <w:color w:val="auto"/>
          <w:sz w:val="20"/>
        </w:rPr>
        <w:fldChar w:fldCharType="begin"/>
      </w:r>
      <w:r w:rsidRPr="006900E9">
        <w:rPr>
          <w:rFonts w:ascii="Times New Roman" w:hAnsi="Times New Roman" w:cs="Times New Roman"/>
          <w:color w:val="auto"/>
          <w:sz w:val="20"/>
        </w:rPr>
        <w:instrText xml:space="preserve"> SEQ Figure \* ARABIC </w:instrText>
      </w:r>
      <w:r w:rsidR="00E07412" w:rsidRPr="006900E9">
        <w:rPr>
          <w:rFonts w:ascii="Times New Roman" w:hAnsi="Times New Roman" w:cs="Times New Roman"/>
          <w:color w:val="auto"/>
          <w:sz w:val="20"/>
        </w:rPr>
        <w:fldChar w:fldCharType="separate"/>
      </w:r>
      <w:r w:rsidR="004B1905">
        <w:rPr>
          <w:rFonts w:ascii="Times New Roman" w:hAnsi="Times New Roman" w:cs="Times New Roman"/>
          <w:noProof/>
          <w:color w:val="auto"/>
          <w:sz w:val="20"/>
        </w:rPr>
        <w:t>1</w:t>
      </w:r>
      <w:r w:rsidR="00E07412" w:rsidRPr="006900E9">
        <w:rPr>
          <w:rFonts w:ascii="Times New Roman" w:hAnsi="Times New Roman" w:cs="Times New Roman"/>
          <w:color w:val="auto"/>
          <w:sz w:val="20"/>
        </w:rPr>
        <w:fldChar w:fldCharType="end"/>
      </w:r>
      <w:r w:rsidRPr="006900E9">
        <w:rPr>
          <w:rFonts w:ascii="Times New Roman" w:hAnsi="Times New Roman" w:cs="Times New Roman"/>
          <w:color w:val="auto"/>
          <w:sz w:val="20"/>
        </w:rPr>
        <w:t xml:space="preserve"> Comparison of heat release characteristics of MK combustion when compared to conventional DI</w:t>
      </w:r>
    </w:p>
    <w:p w:rsidR="004A2A7D" w:rsidRDefault="00D61687">
      <w:pPr>
        <w:rPr>
          <w:rFonts w:ascii="Times New Roman" w:hAnsi="Times New Roman" w:cs="Times New Roman"/>
          <w:sz w:val="24"/>
        </w:rPr>
      </w:pPr>
      <w:r>
        <w:rPr>
          <w:rFonts w:ascii="Times New Roman" w:hAnsi="Times New Roman" w:cs="Times New Roman"/>
          <w:sz w:val="24"/>
        </w:rPr>
        <w:t xml:space="preserve">  </w:t>
      </w:r>
      <w:proofErr w:type="gramStart"/>
      <w:r w:rsidR="006900E9">
        <w:rPr>
          <w:rFonts w:ascii="Times New Roman" w:hAnsi="Times New Roman" w:cs="Times New Roman"/>
          <w:sz w:val="24"/>
        </w:rPr>
        <w:t>when</w:t>
      </w:r>
      <w:proofErr w:type="gramEnd"/>
      <w:r w:rsidR="006900E9">
        <w:rPr>
          <w:rFonts w:ascii="Times New Roman" w:hAnsi="Times New Roman" w:cs="Times New Roman"/>
          <w:sz w:val="24"/>
        </w:rPr>
        <w:t xml:space="preserve"> compared to conventional DI. This is because heat release for DI occurs exactly at TDC where the fuel is ignited almost instantaneously. </w:t>
      </w:r>
      <w:r w:rsidR="004040E7">
        <w:rPr>
          <w:rFonts w:ascii="Times New Roman" w:hAnsi="Times New Roman" w:cs="Times New Roman"/>
          <w:sz w:val="24"/>
        </w:rPr>
        <w:t>It can also be noticed that heat release rate, per degree, is lower. Normal diesel en</w:t>
      </w:r>
      <w:r w:rsidR="00A82E9F">
        <w:rPr>
          <w:rFonts w:ascii="Times New Roman" w:hAnsi="Times New Roman" w:cs="Times New Roman"/>
          <w:sz w:val="24"/>
        </w:rPr>
        <w:t>gine combustion has a two-staged</w:t>
      </w:r>
      <w:r w:rsidR="004040E7">
        <w:rPr>
          <w:rFonts w:ascii="Times New Roman" w:hAnsi="Times New Roman" w:cs="Times New Roman"/>
          <w:sz w:val="24"/>
        </w:rPr>
        <w:t xml:space="preserve"> profile with maximum heat dumped during the ignition phase but combustion proceeds to have a</w:t>
      </w:r>
      <w:r w:rsidR="00A57933">
        <w:rPr>
          <w:rFonts w:ascii="Times New Roman" w:hAnsi="Times New Roman" w:cs="Times New Roman"/>
          <w:sz w:val="24"/>
        </w:rPr>
        <w:t xml:space="preserve"> diffusion phase. MK combustion</w:t>
      </w:r>
      <w:r w:rsidR="004040E7">
        <w:rPr>
          <w:rFonts w:ascii="Times New Roman" w:hAnsi="Times New Roman" w:cs="Times New Roman"/>
          <w:sz w:val="24"/>
        </w:rPr>
        <w:t xml:space="preserve"> has a single staged profile and the amount of maximum heat dumped is lower. Photographs of normal diesel combustion are compared to MK combustion where MK combustion displays high transparency. It is concluded that high flame transparency results in lesser soot formation and lesser combustion temperatures. These hypotheses are not substantiated with numbers in reference [1].</w:t>
      </w:r>
      <w:r w:rsidR="00D862E6">
        <w:rPr>
          <w:rFonts w:ascii="Times New Roman" w:hAnsi="Times New Roman" w:cs="Times New Roman"/>
          <w:sz w:val="24"/>
        </w:rPr>
        <w:t xml:space="preserve"> Reference [1]</w:t>
      </w:r>
      <w:r w:rsidR="00A82E9F">
        <w:rPr>
          <w:rFonts w:ascii="Times New Roman" w:hAnsi="Times New Roman" w:cs="Times New Roman"/>
          <w:sz w:val="24"/>
        </w:rPr>
        <w:t xml:space="preserve"> also</w:t>
      </w:r>
      <w:r w:rsidR="00D862E6">
        <w:rPr>
          <w:rFonts w:ascii="Times New Roman" w:hAnsi="Times New Roman" w:cs="Times New Roman"/>
          <w:sz w:val="24"/>
        </w:rPr>
        <w:t xml:space="preserve"> discusses two generations of MK with second generation being improvement over the first generation in terms of engine-load. Second generation MK runs</w:t>
      </w:r>
      <w:r w:rsidR="00A82E9F">
        <w:rPr>
          <w:rFonts w:ascii="Times New Roman" w:hAnsi="Times New Roman" w:cs="Times New Roman"/>
          <w:sz w:val="24"/>
        </w:rPr>
        <w:t xml:space="preserve"> the engine at higher loads and exhibits higher compression temperatures at TDC. This interferes with the basic functionality of MK combustion system for </w:t>
      </w:r>
      <w:r w:rsidR="00A82E9F">
        <w:rPr>
          <w:rFonts w:ascii="Times New Roman" w:hAnsi="Times New Roman" w:cs="Times New Roman"/>
          <w:sz w:val="24"/>
        </w:rPr>
        <w:lastRenderedPageBreak/>
        <w:t>which injection duration, in terms of CA degrees must be lesser</w:t>
      </w:r>
      <w:r w:rsidR="00CC0BE4">
        <w:rPr>
          <w:rFonts w:ascii="Times New Roman" w:hAnsi="Times New Roman" w:cs="Times New Roman"/>
          <w:sz w:val="24"/>
        </w:rPr>
        <w:t xml:space="preserve"> than ignition delay.</w:t>
      </w:r>
      <w:r w:rsidR="00A82E9F">
        <w:rPr>
          <w:rFonts w:ascii="Times New Roman" w:hAnsi="Times New Roman" w:cs="Times New Roman"/>
          <w:sz w:val="24"/>
        </w:rPr>
        <w:t xml:space="preserve"> Injection duration of the fuel is lowered by increasing the injection pressure and also by increasing the n</w:t>
      </w:r>
      <w:r w:rsidR="00634C62">
        <w:rPr>
          <w:rFonts w:ascii="Times New Roman" w:hAnsi="Times New Roman" w:cs="Times New Roman"/>
          <w:sz w:val="24"/>
        </w:rPr>
        <w:t>ozzle diameter. Table 1 presents experimental results on emission parameters of a first generation MK</w:t>
      </w:r>
    </w:p>
    <w:p w:rsidR="006F5296" w:rsidRDefault="006F5296" w:rsidP="00D40597">
      <w:pPr>
        <w:jc w:val="center"/>
        <w:rPr>
          <w:b/>
        </w:rPr>
      </w:pPr>
    </w:p>
    <w:p w:rsidR="006F5296" w:rsidRDefault="006F5296" w:rsidP="00D40597">
      <w:pPr>
        <w:jc w:val="center"/>
        <w:rPr>
          <w:b/>
        </w:rPr>
      </w:pPr>
    </w:p>
    <w:p w:rsidR="006F5296" w:rsidRDefault="006F5296" w:rsidP="00D40597">
      <w:pPr>
        <w:jc w:val="center"/>
        <w:rPr>
          <w:b/>
        </w:rPr>
      </w:pPr>
    </w:p>
    <w:p w:rsidR="006F5296" w:rsidRDefault="006F5296" w:rsidP="00D40597">
      <w:pPr>
        <w:jc w:val="center"/>
        <w:rPr>
          <w:b/>
        </w:rPr>
      </w:pPr>
    </w:p>
    <w:p w:rsidR="006F5296" w:rsidRDefault="006F5296" w:rsidP="00D40597">
      <w:pPr>
        <w:jc w:val="center"/>
        <w:rPr>
          <w:b/>
        </w:rPr>
      </w:pPr>
    </w:p>
    <w:p w:rsidR="00634C62" w:rsidRPr="00D40597" w:rsidRDefault="00634C62" w:rsidP="00D40597">
      <w:pPr>
        <w:jc w:val="center"/>
        <w:rPr>
          <w:b/>
          <w:bCs/>
          <w:sz w:val="18"/>
          <w:szCs w:val="18"/>
        </w:rPr>
      </w:pPr>
      <w:r w:rsidRPr="00D40597">
        <w:rPr>
          <w:b/>
        </w:rPr>
        <w:t xml:space="preserve">Table </w:t>
      </w:r>
      <w:r w:rsidR="00E07412" w:rsidRPr="00D40597">
        <w:rPr>
          <w:b/>
        </w:rPr>
        <w:fldChar w:fldCharType="begin"/>
      </w:r>
      <w:r w:rsidRPr="00D40597">
        <w:rPr>
          <w:b/>
        </w:rPr>
        <w:instrText xml:space="preserve"> SEQ Table \* ARABIC </w:instrText>
      </w:r>
      <w:r w:rsidR="00E07412" w:rsidRPr="00D40597">
        <w:rPr>
          <w:b/>
        </w:rPr>
        <w:fldChar w:fldCharType="separate"/>
      </w:r>
      <w:r w:rsidR="004B1905">
        <w:rPr>
          <w:b/>
          <w:noProof/>
        </w:rPr>
        <w:t>1</w:t>
      </w:r>
      <w:r w:rsidR="00E07412" w:rsidRPr="00D40597">
        <w:rPr>
          <w:b/>
        </w:rPr>
        <w:fldChar w:fldCharType="end"/>
      </w:r>
      <w:r w:rsidR="008D668E" w:rsidRPr="00D40597">
        <w:rPr>
          <w:b/>
        </w:rPr>
        <w:t xml:space="preserve"> Emission performance</w:t>
      </w:r>
      <w:r w:rsidRPr="00D40597">
        <w:rPr>
          <w:b/>
        </w:rPr>
        <w:t xml:space="preserve"> characteristics of a first generation MK</w:t>
      </w:r>
    </w:p>
    <w:tbl>
      <w:tblPr>
        <w:tblStyle w:val="LightShading1"/>
        <w:tblW w:w="4161" w:type="dxa"/>
        <w:jc w:val="center"/>
        <w:tblLook w:val="04A0"/>
      </w:tblPr>
      <w:tblGrid>
        <w:gridCol w:w="1335"/>
        <w:gridCol w:w="1495"/>
        <w:gridCol w:w="787"/>
        <w:gridCol w:w="851"/>
      </w:tblGrid>
      <w:tr w:rsidR="00634C62" w:rsidRPr="00634C62" w:rsidTr="00986642">
        <w:trPr>
          <w:cnfStyle w:val="100000000000"/>
          <w:trHeight w:val="330"/>
          <w:jc w:val="center"/>
        </w:trPr>
        <w:tc>
          <w:tcPr>
            <w:cnfStyle w:val="001000000000"/>
            <w:tcW w:w="1335" w:type="dxa"/>
            <w:noWrap/>
            <w:hideMark/>
          </w:tcPr>
          <w:p w:rsidR="00634C62" w:rsidRPr="00634C62" w:rsidRDefault="00634C62" w:rsidP="00634C62">
            <w:pPr>
              <w:rPr>
                <w:rFonts w:ascii="Calibri" w:eastAsia="Times New Roman" w:hAnsi="Calibri" w:cs="Calibri"/>
                <w:color w:val="000000"/>
              </w:rPr>
            </w:pPr>
            <w:r w:rsidRPr="00634C62">
              <w:rPr>
                <w:rFonts w:ascii="Calibri" w:eastAsia="Times New Roman" w:hAnsi="Calibri" w:cs="Calibri"/>
                <w:color w:val="000000"/>
              </w:rPr>
              <w:t> </w:t>
            </w:r>
          </w:p>
        </w:tc>
        <w:tc>
          <w:tcPr>
            <w:tcW w:w="1290" w:type="dxa"/>
            <w:noWrap/>
            <w:hideMark/>
          </w:tcPr>
          <w:p w:rsidR="00634C62" w:rsidRPr="00634C62" w:rsidRDefault="00634C62" w:rsidP="00634C62">
            <w:pPr>
              <w:cnfStyle w:val="100000000000"/>
              <w:rPr>
                <w:rFonts w:ascii="Calibri" w:eastAsia="Times New Roman" w:hAnsi="Calibri" w:cs="Calibri"/>
                <w:color w:val="000000"/>
              </w:rPr>
            </w:pPr>
            <w:r w:rsidRPr="00634C62">
              <w:rPr>
                <w:rFonts w:ascii="Calibri" w:eastAsia="Times New Roman" w:hAnsi="Calibri" w:cs="Calibri"/>
                <w:color w:val="000000"/>
              </w:rPr>
              <w:t>O2 conc</w:t>
            </w:r>
            <w:r w:rsidR="008D668E">
              <w:rPr>
                <w:rFonts w:ascii="Calibri" w:eastAsia="Times New Roman" w:hAnsi="Calibri" w:cs="Calibri"/>
                <w:color w:val="000000"/>
              </w:rPr>
              <w:t>entration</w:t>
            </w:r>
            <w:r w:rsidRPr="00634C62">
              <w:rPr>
                <w:rFonts w:ascii="Calibri" w:eastAsia="Times New Roman" w:hAnsi="Calibri" w:cs="Calibri"/>
                <w:color w:val="000000"/>
              </w:rPr>
              <w:t xml:space="preserve"> reduction</w:t>
            </w:r>
          </w:p>
        </w:tc>
        <w:tc>
          <w:tcPr>
            <w:tcW w:w="685" w:type="dxa"/>
            <w:noWrap/>
            <w:hideMark/>
          </w:tcPr>
          <w:p w:rsidR="00634C62" w:rsidRPr="00634C62" w:rsidRDefault="00634C62" w:rsidP="00634C62">
            <w:pPr>
              <w:cnfStyle w:val="100000000000"/>
              <w:rPr>
                <w:rFonts w:ascii="Calibri" w:eastAsia="Times New Roman" w:hAnsi="Calibri" w:cs="Calibri"/>
                <w:color w:val="000000"/>
              </w:rPr>
            </w:pPr>
            <w:r w:rsidRPr="00634C62">
              <w:rPr>
                <w:rFonts w:ascii="Calibri" w:eastAsia="Times New Roman" w:hAnsi="Calibri" w:cs="Calibri"/>
                <w:color w:val="000000"/>
              </w:rPr>
              <w:t>IT retard</w:t>
            </w:r>
          </w:p>
        </w:tc>
        <w:tc>
          <w:tcPr>
            <w:tcW w:w="851" w:type="dxa"/>
            <w:noWrap/>
            <w:hideMark/>
          </w:tcPr>
          <w:p w:rsidR="00634C62" w:rsidRPr="00634C62" w:rsidRDefault="00634C62" w:rsidP="00634C62">
            <w:pPr>
              <w:cnfStyle w:val="100000000000"/>
              <w:rPr>
                <w:rFonts w:ascii="Calibri" w:eastAsia="Times New Roman" w:hAnsi="Calibri" w:cs="Calibri"/>
                <w:color w:val="000000"/>
              </w:rPr>
            </w:pPr>
            <w:r w:rsidRPr="00634C62">
              <w:rPr>
                <w:rFonts w:ascii="Calibri" w:eastAsia="Times New Roman" w:hAnsi="Calibri" w:cs="Calibri"/>
                <w:color w:val="000000"/>
              </w:rPr>
              <w:t>High swirl rate</w:t>
            </w:r>
          </w:p>
        </w:tc>
      </w:tr>
      <w:tr w:rsidR="00634C62" w:rsidRPr="00634C62" w:rsidTr="00986642">
        <w:trPr>
          <w:cnfStyle w:val="000000100000"/>
          <w:trHeight w:val="330"/>
          <w:jc w:val="center"/>
        </w:trPr>
        <w:tc>
          <w:tcPr>
            <w:cnfStyle w:val="001000000000"/>
            <w:tcW w:w="1335" w:type="dxa"/>
            <w:noWrap/>
            <w:hideMark/>
          </w:tcPr>
          <w:p w:rsidR="00634C62" w:rsidRPr="00634C62" w:rsidRDefault="00634C62" w:rsidP="00634C62">
            <w:pPr>
              <w:rPr>
                <w:rFonts w:ascii="Calibri" w:eastAsia="Times New Roman" w:hAnsi="Calibri" w:cs="Calibri"/>
                <w:color w:val="000000"/>
              </w:rPr>
            </w:pPr>
            <w:r w:rsidRPr="00634C62">
              <w:rPr>
                <w:rFonts w:ascii="Calibri" w:eastAsia="Times New Roman" w:hAnsi="Calibri" w:cs="Calibri"/>
                <w:color w:val="000000"/>
              </w:rPr>
              <w:t>UHC-</w:t>
            </w:r>
            <w:proofErr w:type="spellStart"/>
            <w:r w:rsidRPr="00634C62">
              <w:rPr>
                <w:rFonts w:ascii="Calibri" w:eastAsia="Times New Roman" w:hAnsi="Calibri" w:cs="Calibri"/>
                <w:color w:val="000000"/>
              </w:rPr>
              <w:t>Nox</w:t>
            </w:r>
            <w:proofErr w:type="spellEnd"/>
          </w:p>
        </w:tc>
        <w:tc>
          <w:tcPr>
            <w:tcW w:w="1290" w:type="dxa"/>
            <w:noWrap/>
            <w:hideMark/>
          </w:tcPr>
          <w:p w:rsidR="00634C62" w:rsidRPr="00634C62" w:rsidRDefault="00634C62" w:rsidP="00634C62">
            <w:pPr>
              <w:cnfStyle w:val="000000100000"/>
              <w:rPr>
                <w:rFonts w:ascii="Calibri" w:eastAsia="Times New Roman" w:hAnsi="Calibri" w:cs="Calibri"/>
                <w:color w:val="000000"/>
              </w:rPr>
            </w:pPr>
            <w:r w:rsidRPr="00634C62">
              <w:rPr>
                <w:rFonts w:ascii="Calibri" w:eastAsia="Times New Roman" w:hAnsi="Calibri" w:cs="Calibri"/>
                <w:color w:val="000000"/>
              </w:rPr>
              <w:t>inc-</w:t>
            </w:r>
            <w:proofErr w:type="spellStart"/>
            <w:r w:rsidRPr="00634C62">
              <w:rPr>
                <w:rFonts w:ascii="Calibri" w:eastAsia="Times New Roman" w:hAnsi="Calibri" w:cs="Calibri"/>
                <w:color w:val="000000"/>
              </w:rPr>
              <w:t>dec</w:t>
            </w:r>
            <w:proofErr w:type="spellEnd"/>
          </w:p>
        </w:tc>
        <w:tc>
          <w:tcPr>
            <w:tcW w:w="685" w:type="dxa"/>
            <w:noWrap/>
            <w:hideMark/>
          </w:tcPr>
          <w:p w:rsidR="00634C62" w:rsidRPr="00634C62" w:rsidRDefault="00634C62" w:rsidP="00634C62">
            <w:pPr>
              <w:cnfStyle w:val="000000100000"/>
              <w:rPr>
                <w:rFonts w:ascii="Calibri" w:eastAsia="Times New Roman" w:hAnsi="Calibri" w:cs="Calibri"/>
                <w:color w:val="000000"/>
              </w:rPr>
            </w:pPr>
            <w:r w:rsidRPr="00634C62">
              <w:rPr>
                <w:rFonts w:ascii="Calibri" w:eastAsia="Times New Roman" w:hAnsi="Calibri" w:cs="Calibri"/>
                <w:color w:val="000000"/>
              </w:rPr>
              <w:t>inc-</w:t>
            </w:r>
            <w:proofErr w:type="spellStart"/>
            <w:r w:rsidRPr="00634C62">
              <w:rPr>
                <w:rFonts w:ascii="Calibri" w:eastAsia="Times New Roman" w:hAnsi="Calibri" w:cs="Calibri"/>
                <w:color w:val="000000"/>
              </w:rPr>
              <w:t>dec</w:t>
            </w:r>
            <w:proofErr w:type="spellEnd"/>
          </w:p>
        </w:tc>
        <w:tc>
          <w:tcPr>
            <w:tcW w:w="851" w:type="dxa"/>
            <w:noWrap/>
            <w:hideMark/>
          </w:tcPr>
          <w:p w:rsidR="00634C62" w:rsidRPr="00634C62" w:rsidRDefault="00634C62" w:rsidP="00634C62">
            <w:pPr>
              <w:cnfStyle w:val="000000100000"/>
              <w:rPr>
                <w:rFonts w:ascii="Calibri" w:eastAsia="Times New Roman" w:hAnsi="Calibri" w:cs="Calibri"/>
                <w:color w:val="000000"/>
              </w:rPr>
            </w:pPr>
            <w:proofErr w:type="spellStart"/>
            <w:r w:rsidRPr="00634C62">
              <w:rPr>
                <w:rFonts w:ascii="Calibri" w:eastAsia="Times New Roman" w:hAnsi="Calibri" w:cs="Calibri"/>
                <w:color w:val="000000"/>
              </w:rPr>
              <w:t>dec</w:t>
            </w:r>
            <w:proofErr w:type="spellEnd"/>
            <w:r w:rsidRPr="00634C62">
              <w:rPr>
                <w:rFonts w:ascii="Calibri" w:eastAsia="Times New Roman" w:hAnsi="Calibri" w:cs="Calibri"/>
                <w:color w:val="000000"/>
              </w:rPr>
              <w:t>-inc</w:t>
            </w:r>
          </w:p>
        </w:tc>
      </w:tr>
      <w:tr w:rsidR="00634C62" w:rsidRPr="00634C62" w:rsidTr="00986642">
        <w:trPr>
          <w:trHeight w:val="330"/>
          <w:jc w:val="center"/>
        </w:trPr>
        <w:tc>
          <w:tcPr>
            <w:cnfStyle w:val="001000000000"/>
            <w:tcW w:w="1335" w:type="dxa"/>
            <w:noWrap/>
            <w:hideMark/>
          </w:tcPr>
          <w:p w:rsidR="00634C62" w:rsidRPr="00634C62" w:rsidRDefault="00634C62" w:rsidP="00634C62">
            <w:pPr>
              <w:rPr>
                <w:rFonts w:ascii="Calibri" w:eastAsia="Times New Roman" w:hAnsi="Calibri" w:cs="Calibri"/>
                <w:color w:val="000000"/>
              </w:rPr>
            </w:pPr>
            <w:r w:rsidRPr="00634C62">
              <w:rPr>
                <w:rFonts w:ascii="Calibri" w:eastAsia="Times New Roman" w:hAnsi="Calibri" w:cs="Calibri"/>
                <w:color w:val="000000"/>
              </w:rPr>
              <w:t>Smoke-</w:t>
            </w:r>
            <w:proofErr w:type="spellStart"/>
            <w:r w:rsidRPr="00634C62">
              <w:rPr>
                <w:rFonts w:ascii="Calibri" w:eastAsia="Times New Roman" w:hAnsi="Calibri" w:cs="Calibri"/>
                <w:color w:val="000000"/>
              </w:rPr>
              <w:t>Nox</w:t>
            </w:r>
            <w:proofErr w:type="spellEnd"/>
          </w:p>
        </w:tc>
        <w:tc>
          <w:tcPr>
            <w:tcW w:w="1290" w:type="dxa"/>
            <w:noWrap/>
            <w:hideMark/>
          </w:tcPr>
          <w:p w:rsidR="00634C62" w:rsidRPr="00634C62" w:rsidRDefault="00634C62" w:rsidP="00634C62">
            <w:pPr>
              <w:cnfStyle w:val="000000000000"/>
              <w:rPr>
                <w:rFonts w:ascii="Calibri" w:eastAsia="Times New Roman" w:hAnsi="Calibri" w:cs="Calibri"/>
                <w:color w:val="000000"/>
              </w:rPr>
            </w:pPr>
            <w:r w:rsidRPr="00634C62">
              <w:rPr>
                <w:rFonts w:ascii="Calibri" w:eastAsia="Times New Roman" w:hAnsi="Calibri" w:cs="Calibri"/>
                <w:color w:val="000000"/>
              </w:rPr>
              <w:t>inc-</w:t>
            </w:r>
            <w:proofErr w:type="spellStart"/>
            <w:r w:rsidRPr="00634C62">
              <w:rPr>
                <w:rFonts w:ascii="Calibri" w:eastAsia="Times New Roman" w:hAnsi="Calibri" w:cs="Calibri"/>
                <w:color w:val="000000"/>
              </w:rPr>
              <w:t>dec</w:t>
            </w:r>
            <w:proofErr w:type="spellEnd"/>
          </w:p>
        </w:tc>
        <w:tc>
          <w:tcPr>
            <w:tcW w:w="685" w:type="dxa"/>
            <w:noWrap/>
            <w:hideMark/>
          </w:tcPr>
          <w:p w:rsidR="00634C62" w:rsidRPr="00634C62" w:rsidRDefault="00634C62" w:rsidP="00634C62">
            <w:pPr>
              <w:cnfStyle w:val="000000000000"/>
              <w:rPr>
                <w:rFonts w:ascii="Calibri" w:eastAsia="Times New Roman" w:hAnsi="Calibri" w:cs="Calibri"/>
                <w:color w:val="000000"/>
              </w:rPr>
            </w:pPr>
            <w:proofErr w:type="spellStart"/>
            <w:r w:rsidRPr="00634C62">
              <w:rPr>
                <w:rFonts w:ascii="Calibri" w:eastAsia="Times New Roman" w:hAnsi="Calibri" w:cs="Calibri"/>
                <w:color w:val="000000"/>
              </w:rPr>
              <w:t>dec-dec</w:t>
            </w:r>
            <w:proofErr w:type="spellEnd"/>
          </w:p>
        </w:tc>
        <w:tc>
          <w:tcPr>
            <w:tcW w:w="851" w:type="dxa"/>
            <w:noWrap/>
            <w:hideMark/>
          </w:tcPr>
          <w:p w:rsidR="00634C62" w:rsidRPr="00634C62" w:rsidRDefault="00634C62" w:rsidP="00634C62">
            <w:pPr>
              <w:cnfStyle w:val="000000000000"/>
              <w:rPr>
                <w:rFonts w:ascii="Calibri" w:eastAsia="Times New Roman" w:hAnsi="Calibri" w:cs="Calibri"/>
                <w:color w:val="000000"/>
              </w:rPr>
            </w:pPr>
            <w:proofErr w:type="spellStart"/>
            <w:r w:rsidRPr="00634C62">
              <w:rPr>
                <w:rFonts w:ascii="Calibri" w:eastAsia="Times New Roman" w:hAnsi="Calibri" w:cs="Calibri"/>
                <w:color w:val="000000"/>
              </w:rPr>
              <w:t>dec</w:t>
            </w:r>
            <w:proofErr w:type="spellEnd"/>
            <w:r w:rsidRPr="00634C62">
              <w:rPr>
                <w:rFonts w:ascii="Calibri" w:eastAsia="Times New Roman" w:hAnsi="Calibri" w:cs="Calibri"/>
                <w:color w:val="000000"/>
              </w:rPr>
              <w:t>-inc</w:t>
            </w:r>
          </w:p>
        </w:tc>
      </w:tr>
      <w:tr w:rsidR="00634C62" w:rsidRPr="00634C62" w:rsidTr="00986642">
        <w:trPr>
          <w:cnfStyle w:val="000000100000"/>
          <w:trHeight w:val="659"/>
          <w:jc w:val="center"/>
        </w:trPr>
        <w:tc>
          <w:tcPr>
            <w:cnfStyle w:val="001000000000"/>
            <w:tcW w:w="1335" w:type="dxa"/>
            <w:hideMark/>
          </w:tcPr>
          <w:p w:rsidR="00634C62" w:rsidRPr="00634C62" w:rsidRDefault="00634C62" w:rsidP="00634C62">
            <w:pPr>
              <w:rPr>
                <w:rFonts w:ascii="Calibri" w:eastAsia="Times New Roman" w:hAnsi="Calibri" w:cs="Calibri"/>
                <w:color w:val="000000"/>
              </w:rPr>
            </w:pPr>
            <w:r w:rsidRPr="00634C62">
              <w:rPr>
                <w:rFonts w:ascii="Calibri" w:eastAsia="Times New Roman" w:hAnsi="Calibri" w:cs="Calibri"/>
                <w:color w:val="000000"/>
              </w:rPr>
              <w:t>Thermal Efficiency-</w:t>
            </w:r>
            <w:proofErr w:type="spellStart"/>
            <w:r w:rsidRPr="00634C62">
              <w:rPr>
                <w:rFonts w:ascii="Calibri" w:eastAsia="Times New Roman" w:hAnsi="Calibri" w:cs="Calibri"/>
                <w:color w:val="000000"/>
              </w:rPr>
              <w:t>Nox</w:t>
            </w:r>
            <w:proofErr w:type="spellEnd"/>
          </w:p>
        </w:tc>
        <w:tc>
          <w:tcPr>
            <w:tcW w:w="1290" w:type="dxa"/>
            <w:noWrap/>
            <w:hideMark/>
          </w:tcPr>
          <w:p w:rsidR="00634C62" w:rsidRPr="00634C62" w:rsidRDefault="00634C62" w:rsidP="00634C62">
            <w:pPr>
              <w:cnfStyle w:val="000000100000"/>
              <w:rPr>
                <w:rFonts w:ascii="Calibri" w:eastAsia="Times New Roman" w:hAnsi="Calibri" w:cs="Calibri"/>
                <w:color w:val="000000"/>
              </w:rPr>
            </w:pPr>
            <w:r w:rsidRPr="00634C62">
              <w:rPr>
                <w:rFonts w:ascii="Calibri" w:eastAsia="Times New Roman" w:hAnsi="Calibri" w:cs="Calibri"/>
                <w:color w:val="000000"/>
              </w:rPr>
              <w:t>inc-</w:t>
            </w:r>
            <w:proofErr w:type="spellStart"/>
            <w:r w:rsidRPr="00634C62">
              <w:rPr>
                <w:rFonts w:ascii="Calibri" w:eastAsia="Times New Roman" w:hAnsi="Calibri" w:cs="Calibri"/>
                <w:color w:val="000000"/>
              </w:rPr>
              <w:t>dec</w:t>
            </w:r>
            <w:proofErr w:type="spellEnd"/>
          </w:p>
        </w:tc>
        <w:tc>
          <w:tcPr>
            <w:tcW w:w="685" w:type="dxa"/>
            <w:noWrap/>
            <w:hideMark/>
          </w:tcPr>
          <w:p w:rsidR="00634C62" w:rsidRPr="00634C62" w:rsidRDefault="00634C62" w:rsidP="00634C62">
            <w:pPr>
              <w:cnfStyle w:val="000000100000"/>
              <w:rPr>
                <w:rFonts w:ascii="Calibri" w:eastAsia="Times New Roman" w:hAnsi="Calibri" w:cs="Calibri"/>
                <w:color w:val="000000"/>
              </w:rPr>
            </w:pPr>
            <w:proofErr w:type="spellStart"/>
            <w:r w:rsidRPr="00634C62">
              <w:rPr>
                <w:rFonts w:ascii="Calibri" w:eastAsia="Times New Roman" w:hAnsi="Calibri" w:cs="Calibri"/>
                <w:color w:val="000000"/>
              </w:rPr>
              <w:t>dec-dec</w:t>
            </w:r>
            <w:proofErr w:type="spellEnd"/>
          </w:p>
        </w:tc>
        <w:tc>
          <w:tcPr>
            <w:tcW w:w="851" w:type="dxa"/>
            <w:noWrap/>
            <w:hideMark/>
          </w:tcPr>
          <w:p w:rsidR="00634C62" w:rsidRPr="00634C62" w:rsidRDefault="00634C62" w:rsidP="00634C62">
            <w:pPr>
              <w:cnfStyle w:val="000000100000"/>
              <w:rPr>
                <w:rFonts w:ascii="Calibri" w:eastAsia="Times New Roman" w:hAnsi="Calibri" w:cs="Calibri"/>
                <w:color w:val="000000"/>
              </w:rPr>
            </w:pPr>
            <w:r w:rsidRPr="00634C62">
              <w:rPr>
                <w:rFonts w:ascii="Calibri" w:eastAsia="Times New Roman" w:hAnsi="Calibri" w:cs="Calibri"/>
                <w:color w:val="000000"/>
              </w:rPr>
              <w:t>inc-inc</w:t>
            </w:r>
          </w:p>
        </w:tc>
      </w:tr>
    </w:tbl>
    <w:p w:rsidR="00634C62" w:rsidRDefault="00634C62">
      <w:pPr>
        <w:rPr>
          <w:rFonts w:ascii="Times New Roman" w:hAnsi="Times New Roman" w:cs="Times New Roman"/>
          <w:sz w:val="24"/>
        </w:rPr>
      </w:pPr>
    </w:p>
    <w:p w:rsidR="001C21D4" w:rsidRDefault="008D668E">
      <w:pPr>
        <w:rPr>
          <w:rFonts w:ascii="Times New Roman" w:hAnsi="Times New Roman" w:cs="Times New Roman"/>
          <w:sz w:val="24"/>
        </w:rPr>
      </w:pPr>
      <w:r>
        <w:rPr>
          <w:rFonts w:ascii="Times New Roman" w:hAnsi="Times New Roman" w:cs="Times New Roman"/>
          <w:sz w:val="24"/>
        </w:rPr>
        <w:t>From table 1, it is clear that O</w:t>
      </w:r>
      <w:r w:rsidRPr="008D668E">
        <w:rPr>
          <w:rFonts w:ascii="Times New Roman" w:hAnsi="Times New Roman" w:cs="Times New Roman"/>
          <w:sz w:val="24"/>
          <w:vertAlign w:val="subscript"/>
        </w:rPr>
        <w:t>2</w:t>
      </w:r>
      <w:r>
        <w:rPr>
          <w:rFonts w:ascii="Times New Roman" w:hAnsi="Times New Roman" w:cs="Times New Roman"/>
          <w:sz w:val="24"/>
          <w:vertAlign w:val="subscript"/>
        </w:rPr>
        <w:t xml:space="preserve"> </w:t>
      </w:r>
      <w:r>
        <w:rPr>
          <w:rFonts w:ascii="Times New Roman" w:hAnsi="Times New Roman" w:cs="Times New Roman"/>
          <w:sz w:val="24"/>
        </w:rPr>
        <w:t xml:space="preserve">concentration reduction reduces </w:t>
      </w:r>
      <w:proofErr w:type="spellStart"/>
      <w:r>
        <w:rPr>
          <w:rFonts w:ascii="Times New Roman" w:hAnsi="Times New Roman" w:cs="Times New Roman"/>
          <w:sz w:val="24"/>
        </w:rPr>
        <w:t>NOx</w:t>
      </w:r>
      <w:proofErr w:type="spellEnd"/>
      <w:r>
        <w:rPr>
          <w:rFonts w:ascii="Times New Roman" w:hAnsi="Times New Roman" w:cs="Times New Roman"/>
          <w:sz w:val="24"/>
        </w:rPr>
        <w:t xml:space="preserve"> by about </w:t>
      </w:r>
      <w:proofErr w:type="gramStart"/>
      <w:r>
        <w:rPr>
          <w:rFonts w:ascii="Times New Roman" w:hAnsi="Times New Roman" w:cs="Times New Roman"/>
          <w:sz w:val="24"/>
        </w:rPr>
        <w:t>90%</w:t>
      </w:r>
      <w:proofErr w:type="gramEnd"/>
      <w:r w:rsidR="002219FE">
        <w:rPr>
          <w:rFonts w:ascii="Times New Roman" w:hAnsi="Times New Roman" w:cs="Times New Roman"/>
          <w:sz w:val="24"/>
        </w:rPr>
        <w:t>(experimental result)</w:t>
      </w:r>
      <w:r>
        <w:rPr>
          <w:rFonts w:ascii="Times New Roman" w:hAnsi="Times New Roman" w:cs="Times New Roman"/>
          <w:sz w:val="24"/>
        </w:rPr>
        <w:t xml:space="preserve"> and injection timing (IT) retard re</w:t>
      </w:r>
      <w:r w:rsidR="00390C4F">
        <w:rPr>
          <w:rFonts w:ascii="Times New Roman" w:hAnsi="Times New Roman" w:cs="Times New Roman"/>
          <w:sz w:val="24"/>
        </w:rPr>
        <w:t xml:space="preserve">duces smoke. Thermal efficiency is hampered by retarded injection timing but it recovers the lost efficiency by increasing swirl rate. </w:t>
      </w:r>
    </w:p>
    <w:p w:rsidR="001C21D4" w:rsidRDefault="001C21D4">
      <w:pPr>
        <w:rPr>
          <w:rFonts w:ascii="Times New Roman" w:hAnsi="Times New Roman" w:cs="Times New Roman"/>
          <w:sz w:val="24"/>
        </w:rPr>
      </w:pPr>
      <w:r>
        <w:rPr>
          <w:rFonts w:ascii="Times New Roman" w:hAnsi="Times New Roman" w:cs="Times New Roman"/>
          <w:sz w:val="24"/>
        </w:rPr>
        <w:t xml:space="preserve">For running second generation MK, the parameters that are changed to obtain an ignition delay longer than injection duration are injection pressure, compression ratio and an EGR cooler is included in the intake </w:t>
      </w:r>
      <w:r>
        <w:rPr>
          <w:rFonts w:ascii="Times New Roman" w:hAnsi="Times New Roman" w:cs="Times New Roman"/>
          <w:sz w:val="24"/>
        </w:rPr>
        <w:lastRenderedPageBreak/>
        <w:t>system. It has been experimentally verified that, at an injection pressure of 1600 bar, a compression ratio of 16 and a running EGR cooler, required ignition delay is obtained.</w:t>
      </w:r>
      <w:r w:rsidR="00A44880">
        <w:rPr>
          <w:rFonts w:ascii="Times New Roman" w:hAnsi="Times New Roman" w:cs="Times New Roman"/>
          <w:sz w:val="24"/>
        </w:rPr>
        <w:t xml:space="preserve"> </w:t>
      </w:r>
      <w:r>
        <w:rPr>
          <w:rFonts w:ascii="Times New Roman" w:hAnsi="Times New Roman" w:cs="Times New Roman"/>
          <w:sz w:val="24"/>
        </w:rPr>
        <w:t xml:space="preserve">Figure 2 denotes reduction in PM and BSFC as a function of </w:t>
      </w:r>
      <w:proofErr w:type="spellStart"/>
      <w:r>
        <w:rPr>
          <w:rFonts w:ascii="Times New Roman" w:hAnsi="Times New Roman" w:cs="Times New Roman"/>
          <w:sz w:val="24"/>
        </w:rPr>
        <w:t>NOx</w:t>
      </w:r>
      <w:proofErr w:type="spellEnd"/>
      <w:r>
        <w:rPr>
          <w:rFonts w:ascii="Times New Roman" w:hAnsi="Times New Roman" w:cs="Times New Roman"/>
          <w:sz w:val="24"/>
        </w:rPr>
        <w:t xml:space="preserve"> for conventional DI engine and MK combustion process. </w:t>
      </w:r>
    </w:p>
    <w:p w:rsidR="001C21D4" w:rsidRDefault="001C21D4" w:rsidP="001C21D4">
      <w:pPr>
        <w:keepNext/>
        <w:jc w:val="center"/>
      </w:pPr>
      <w:r>
        <w:rPr>
          <w:rFonts w:ascii="Times New Roman" w:hAnsi="Times New Roman" w:cs="Times New Roman"/>
          <w:noProof/>
          <w:sz w:val="24"/>
        </w:rPr>
        <w:drawing>
          <wp:inline distT="0" distB="0" distL="0" distR="0">
            <wp:extent cx="2437902" cy="1677725"/>
            <wp:effectExtent l="19050" t="0" r="49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37705" cy="1677589"/>
                    </a:xfrm>
                    <a:prstGeom prst="rect">
                      <a:avLst/>
                    </a:prstGeom>
                    <a:noFill/>
                    <a:ln w="9525">
                      <a:noFill/>
                      <a:miter lim="800000"/>
                      <a:headEnd/>
                      <a:tailEnd/>
                    </a:ln>
                  </pic:spPr>
                </pic:pic>
              </a:graphicData>
            </a:graphic>
          </wp:inline>
        </w:drawing>
      </w:r>
    </w:p>
    <w:p w:rsidR="001C21D4" w:rsidRPr="006F5296" w:rsidRDefault="001C21D4" w:rsidP="001C21D4">
      <w:pPr>
        <w:pStyle w:val="Caption"/>
        <w:jc w:val="center"/>
        <w:rPr>
          <w:rFonts w:ascii="Times New Roman" w:hAnsi="Times New Roman" w:cs="Times New Roman"/>
          <w:bCs w:val="0"/>
          <w:color w:val="auto"/>
          <w:sz w:val="24"/>
          <w:szCs w:val="22"/>
        </w:rPr>
      </w:pPr>
      <w:r w:rsidRPr="006F5296">
        <w:rPr>
          <w:rFonts w:ascii="Times New Roman" w:hAnsi="Times New Roman" w:cs="Times New Roman"/>
          <w:bCs w:val="0"/>
          <w:color w:val="auto"/>
          <w:sz w:val="24"/>
          <w:szCs w:val="22"/>
        </w:rPr>
        <w:t xml:space="preserve">Figure </w:t>
      </w:r>
      <w:r w:rsidR="00E07412" w:rsidRPr="006F5296">
        <w:rPr>
          <w:rFonts w:ascii="Times New Roman" w:hAnsi="Times New Roman" w:cs="Times New Roman"/>
          <w:bCs w:val="0"/>
          <w:color w:val="auto"/>
          <w:sz w:val="24"/>
          <w:szCs w:val="22"/>
        </w:rPr>
        <w:fldChar w:fldCharType="begin"/>
      </w:r>
      <w:r w:rsidR="001F70DE" w:rsidRPr="006F5296">
        <w:rPr>
          <w:rFonts w:ascii="Times New Roman" w:hAnsi="Times New Roman" w:cs="Times New Roman"/>
          <w:bCs w:val="0"/>
          <w:color w:val="auto"/>
          <w:sz w:val="24"/>
          <w:szCs w:val="22"/>
        </w:rPr>
        <w:instrText xml:space="preserve"> SEQ Figure \* ARABIC </w:instrText>
      </w:r>
      <w:r w:rsidR="00E07412" w:rsidRPr="006F5296">
        <w:rPr>
          <w:rFonts w:ascii="Times New Roman" w:hAnsi="Times New Roman" w:cs="Times New Roman"/>
          <w:bCs w:val="0"/>
          <w:color w:val="auto"/>
          <w:sz w:val="24"/>
          <w:szCs w:val="22"/>
        </w:rPr>
        <w:fldChar w:fldCharType="separate"/>
      </w:r>
      <w:r w:rsidR="004B1905">
        <w:rPr>
          <w:rFonts w:ascii="Times New Roman" w:hAnsi="Times New Roman" w:cs="Times New Roman"/>
          <w:bCs w:val="0"/>
          <w:noProof/>
          <w:color w:val="auto"/>
          <w:sz w:val="24"/>
          <w:szCs w:val="22"/>
        </w:rPr>
        <w:t>2</w:t>
      </w:r>
      <w:r w:rsidR="00E07412" w:rsidRPr="006F5296">
        <w:rPr>
          <w:rFonts w:ascii="Times New Roman" w:hAnsi="Times New Roman" w:cs="Times New Roman"/>
          <w:bCs w:val="0"/>
          <w:color w:val="auto"/>
          <w:sz w:val="24"/>
          <w:szCs w:val="22"/>
        </w:rPr>
        <w:fldChar w:fldCharType="end"/>
      </w:r>
      <w:r w:rsidR="006F5296" w:rsidRPr="006F5296">
        <w:rPr>
          <w:rFonts w:ascii="Times New Roman" w:hAnsi="Times New Roman" w:cs="Times New Roman"/>
          <w:bCs w:val="0"/>
          <w:color w:val="auto"/>
          <w:sz w:val="24"/>
          <w:szCs w:val="22"/>
        </w:rPr>
        <w:t xml:space="preserve"> Comparison of </w:t>
      </w:r>
      <w:proofErr w:type="spellStart"/>
      <w:r w:rsidR="006F5296" w:rsidRPr="006F5296">
        <w:rPr>
          <w:rFonts w:ascii="Times New Roman" w:hAnsi="Times New Roman" w:cs="Times New Roman"/>
          <w:bCs w:val="0"/>
          <w:color w:val="auto"/>
          <w:sz w:val="24"/>
          <w:szCs w:val="22"/>
        </w:rPr>
        <w:t>NOx</w:t>
      </w:r>
      <w:proofErr w:type="spellEnd"/>
      <w:r w:rsidR="006F5296" w:rsidRPr="006F5296">
        <w:rPr>
          <w:rFonts w:ascii="Times New Roman" w:hAnsi="Times New Roman" w:cs="Times New Roman"/>
          <w:bCs w:val="0"/>
          <w:color w:val="auto"/>
          <w:sz w:val="24"/>
          <w:szCs w:val="22"/>
        </w:rPr>
        <w:t>, PM and BSFC between conventional and MK combustion</w:t>
      </w:r>
    </w:p>
    <w:p w:rsidR="001C21D4" w:rsidRDefault="00A44880" w:rsidP="001C21D4">
      <w:pPr>
        <w:rPr>
          <w:rFonts w:ascii="Times New Roman" w:hAnsi="Times New Roman" w:cs="Times New Roman"/>
          <w:sz w:val="24"/>
        </w:rPr>
      </w:pPr>
      <w:r>
        <w:rPr>
          <w:rFonts w:ascii="Times New Roman" w:hAnsi="Times New Roman" w:cs="Times New Roman"/>
          <w:sz w:val="24"/>
        </w:rPr>
        <w:t>Following can be concluded from reference [1]</w:t>
      </w:r>
    </w:p>
    <w:p w:rsidR="00A44880" w:rsidRDefault="00A44880" w:rsidP="00A44880">
      <w:pPr>
        <w:pStyle w:val="ListParagraph"/>
        <w:numPr>
          <w:ilvl w:val="0"/>
          <w:numId w:val="1"/>
        </w:numPr>
        <w:rPr>
          <w:rFonts w:ascii="Times New Roman" w:hAnsi="Times New Roman" w:cs="Times New Roman"/>
          <w:sz w:val="24"/>
        </w:rPr>
      </w:pPr>
      <w:r>
        <w:rPr>
          <w:rFonts w:ascii="Times New Roman" w:hAnsi="Times New Roman" w:cs="Times New Roman"/>
          <w:sz w:val="24"/>
        </w:rPr>
        <w:t>Compression ratio, EGR and injection are optimizing parameters which regulate injection duration and ignition delay to obtain low temperatures in the cylinder</w:t>
      </w:r>
    </w:p>
    <w:p w:rsidR="00A44880" w:rsidRDefault="00A44880" w:rsidP="00A4488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Engine can be operated near stoichiometric ratios and the smoke concentrations can be reduced to less than 1 FSU </w:t>
      </w:r>
    </w:p>
    <w:p w:rsidR="00A44880" w:rsidRDefault="00A44880" w:rsidP="00A4488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MK concept can be used to achieve </w:t>
      </w:r>
      <w:proofErr w:type="spellStart"/>
      <w:r>
        <w:rPr>
          <w:rFonts w:ascii="Times New Roman" w:hAnsi="Times New Roman" w:cs="Times New Roman"/>
          <w:sz w:val="24"/>
        </w:rPr>
        <w:t>NOx</w:t>
      </w:r>
      <w:proofErr w:type="spellEnd"/>
      <w:r>
        <w:rPr>
          <w:rFonts w:ascii="Times New Roman" w:hAnsi="Times New Roman" w:cs="Times New Roman"/>
          <w:sz w:val="24"/>
        </w:rPr>
        <w:t xml:space="preserve"> reduction rates of 98%</w:t>
      </w:r>
    </w:p>
    <w:p w:rsidR="000F2EEE" w:rsidRPr="0062141F" w:rsidRDefault="009551EC" w:rsidP="000F2EEE">
      <w:pPr>
        <w:rPr>
          <w:rFonts w:ascii="Times New Roman" w:hAnsi="Times New Roman" w:cs="Times New Roman"/>
          <w:b/>
          <w:sz w:val="24"/>
        </w:rPr>
      </w:pPr>
      <w:r w:rsidRPr="0062141F">
        <w:rPr>
          <w:rFonts w:ascii="Times New Roman" w:hAnsi="Times New Roman" w:cs="Times New Roman"/>
          <w:b/>
          <w:sz w:val="24"/>
        </w:rPr>
        <w:t>Early injection PPCI</w:t>
      </w:r>
    </w:p>
    <w:p w:rsidR="009551EC" w:rsidRDefault="009551EC" w:rsidP="000F2EEE">
      <w:pPr>
        <w:rPr>
          <w:rFonts w:ascii="Times New Roman" w:hAnsi="Times New Roman" w:cs="Times New Roman"/>
          <w:sz w:val="24"/>
        </w:rPr>
      </w:pPr>
      <w:r>
        <w:rPr>
          <w:rFonts w:ascii="Times New Roman" w:hAnsi="Times New Roman" w:cs="Times New Roman"/>
          <w:sz w:val="24"/>
        </w:rPr>
        <w:t>Parameters that are controlled for employing this strategy are EGR and injection pressure. T</w:t>
      </w:r>
      <w:r w:rsidR="00EB0F86">
        <w:rPr>
          <w:rFonts w:ascii="Times New Roman" w:hAnsi="Times New Roman" w:cs="Times New Roman"/>
          <w:sz w:val="24"/>
        </w:rPr>
        <w:t xml:space="preserve">wo challenges </w:t>
      </w:r>
      <w:r>
        <w:rPr>
          <w:rFonts w:ascii="Times New Roman" w:hAnsi="Times New Roman" w:cs="Times New Roman"/>
          <w:sz w:val="24"/>
        </w:rPr>
        <w:t>that are to be dealt with, during experimentation</w:t>
      </w:r>
      <w:r w:rsidR="00EB0F86">
        <w:rPr>
          <w:rFonts w:ascii="Times New Roman" w:hAnsi="Times New Roman" w:cs="Times New Roman"/>
          <w:sz w:val="24"/>
        </w:rPr>
        <w:t>, are hypothesized</w:t>
      </w:r>
      <w:r>
        <w:rPr>
          <w:rFonts w:ascii="Times New Roman" w:hAnsi="Times New Roman" w:cs="Times New Roman"/>
          <w:sz w:val="24"/>
        </w:rPr>
        <w:t xml:space="preserve">. One is the increased UHC emission due to </w:t>
      </w:r>
      <w:r>
        <w:rPr>
          <w:rFonts w:ascii="Times New Roman" w:hAnsi="Times New Roman" w:cs="Times New Roman"/>
          <w:sz w:val="24"/>
        </w:rPr>
        <w:lastRenderedPageBreak/>
        <w:t>long mixing times, reduced in-cylinder temperature and locally lean stoichiometric ratios. The other challenge is ignition timing which is kinet</w:t>
      </w:r>
      <w:r w:rsidR="000B3E59">
        <w:rPr>
          <w:rFonts w:ascii="Times New Roman" w:hAnsi="Times New Roman" w:cs="Times New Roman"/>
          <w:sz w:val="24"/>
        </w:rPr>
        <w:t>ically contr</w:t>
      </w:r>
      <w:r w:rsidR="00EB0F86">
        <w:rPr>
          <w:rFonts w:ascii="Times New Roman" w:hAnsi="Times New Roman" w:cs="Times New Roman"/>
          <w:sz w:val="24"/>
        </w:rPr>
        <w:t xml:space="preserve">olled. Diesel mixture has a </w:t>
      </w:r>
      <w:r w:rsidR="0056682F">
        <w:rPr>
          <w:rFonts w:ascii="Times New Roman" w:hAnsi="Times New Roman" w:cs="Times New Roman"/>
          <w:sz w:val="24"/>
        </w:rPr>
        <w:t>tendency</w:t>
      </w:r>
      <w:r w:rsidR="00EB0F86">
        <w:rPr>
          <w:rFonts w:ascii="Times New Roman" w:hAnsi="Times New Roman" w:cs="Times New Roman"/>
          <w:sz w:val="24"/>
        </w:rPr>
        <w:t xml:space="preserve"> to ignite abruptly at a low temperature. This is controlled by varying the amount of EGR, Variable Valve Actuation (VVA) or Variable Compression Ratio (VCR). </w:t>
      </w:r>
      <w:r w:rsidR="00646EBE">
        <w:rPr>
          <w:rFonts w:ascii="Times New Roman" w:hAnsi="Times New Roman" w:cs="Times New Roman"/>
          <w:sz w:val="24"/>
        </w:rPr>
        <w:t xml:space="preserve">An experimental setup was developed by Ojeda et al [2] to change these parameters. </w:t>
      </w:r>
      <w:r w:rsidR="00544DB5">
        <w:rPr>
          <w:rFonts w:ascii="Times New Roman" w:hAnsi="Times New Roman" w:cs="Times New Roman"/>
          <w:sz w:val="24"/>
        </w:rPr>
        <w:t xml:space="preserve">Injection time for the late premixed injection for this experiment is 60 BTDC. </w:t>
      </w:r>
      <w:r w:rsidR="00646EBE">
        <w:rPr>
          <w:rFonts w:ascii="Times New Roman" w:hAnsi="Times New Roman" w:cs="Times New Roman"/>
          <w:sz w:val="24"/>
        </w:rPr>
        <w:t>Following observations are made from the experimental results</w:t>
      </w:r>
    </w:p>
    <w:p w:rsidR="00646EBE" w:rsidRDefault="006927B7" w:rsidP="00646EBE">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Fuel vaporization is affected by fuel impingement and injection timing. </w:t>
      </w:r>
      <w:r w:rsidR="0062247A">
        <w:rPr>
          <w:rFonts w:ascii="Times New Roman" w:hAnsi="Times New Roman" w:cs="Times New Roman"/>
          <w:sz w:val="24"/>
        </w:rPr>
        <w:t>As injection timing is closer to TDC fuel vaporization is enhanced and UHC rate decreases</w:t>
      </w:r>
    </w:p>
    <w:p w:rsidR="0062247A" w:rsidRDefault="00544DB5" w:rsidP="00646EBE">
      <w:pPr>
        <w:pStyle w:val="ListParagraph"/>
        <w:numPr>
          <w:ilvl w:val="0"/>
          <w:numId w:val="2"/>
        </w:numPr>
        <w:rPr>
          <w:rFonts w:ascii="Times New Roman" w:hAnsi="Times New Roman" w:cs="Times New Roman"/>
          <w:sz w:val="24"/>
        </w:rPr>
      </w:pPr>
      <w:r>
        <w:rPr>
          <w:rFonts w:ascii="Times New Roman" w:hAnsi="Times New Roman" w:cs="Times New Roman"/>
          <w:sz w:val="24"/>
        </w:rPr>
        <w:t>Injection pressures and EGR are varied to get the following plot</w:t>
      </w:r>
    </w:p>
    <w:p w:rsidR="00957336" w:rsidRDefault="00544DB5" w:rsidP="00957336">
      <w:pPr>
        <w:keepNext/>
        <w:jc w:val="center"/>
      </w:pPr>
      <w:r>
        <w:rPr>
          <w:rFonts w:ascii="Times New Roman" w:hAnsi="Times New Roman" w:cs="Times New Roman"/>
          <w:noProof/>
          <w:sz w:val="24"/>
        </w:rPr>
        <w:lastRenderedPageBreak/>
        <w:drawing>
          <wp:inline distT="0" distB="0" distL="0" distR="0">
            <wp:extent cx="2724150" cy="335320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25884" cy="3355340"/>
                    </a:xfrm>
                    <a:prstGeom prst="rect">
                      <a:avLst/>
                    </a:prstGeom>
                    <a:noFill/>
                    <a:ln w="9525">
                      <a:noFill/>
                      <a:miter lim="800000"/>
                      <a:headEnd/>
                      <a:tailEnd/>
                    </a:ln>
                  </pic:spPr>
                </pic:pic>
              </a:graphicData>
            </a:graphic>
          </wp:inline>
        </w:drawing>
      </w:r>
    </w:p>
    <w:p w:rsidR="00544DB5" w:rsidRDefault="00957336" w:rsidP="00957336">
      <w:pPr>
        <w:pStyle w:val="Caption"/>
        <w:jc w:val="center"/>
        <w:rPr>
          <w:rFonts w:ascii="Times New Roman" w:hAnsi="Times New Roman" w:cs="Times New Roman"/>
          <w:color w:val="auto"/>
          <w:sz w:val="22"/>
        </w:rPr>
      </w:pPr>
      <w:r w:rsidRPr="00957336">
        <w:rPr>
          <w:rFonts w:ascii="Times New Roman" w:hAnsi="Times New Roman" w:cs="Times New Roman"/>
          <w:color w:val="auto"/>
          <w:sz w:val="22"/>
        </w:rPr>
        <w:t xml:space="preserve">Figure </w:t>
      </w:r>
      <w:r w:rsidR="00E07412" w:rsidRPr="00957336">
        <w:rPr>
          <w:rFonts w:ascii="Times New Roman" w:hAnsi="Times New Roman" w:cs="Times New Roman"/>
          <w:color w:val="auto"/>
          <w:sz w:val="22"/>
        </w:rPr>
        <w:fldChar w:fldCharType="begin"/>
      </w:r>
      <w:r w:rsidRPr="00957336">
        <w:rPr>
          <w:rFonts w:ascii="Times New Roman" w:hAnsi="Times New Roman" w:cs="Times New Roman"/>
          <w:color w:val="auto"/>
          <w:sz w:val="22"/>
        </w:rPr>
        <w:instrText xml:space="preserve"> SEQ Figure \* ARABIC </w:instrText>
      </w:r>
      <w:r w:rsidR="00E07412" w:rsidRPr="00957336">
        <w:rPr>
          <w:rFonts w:ascii="Times New Roman" w:hAnsi="Times New Roman" w:cs="Times New Roman"/>
          <w:color w:val="auto"/>
          <w:sz w:val="22"/>
        </w:rPr>
        <w:fldChar w:fldCharType="separate"/>
      </w:r>
      <w:r w:rsidR="004B1905">
        <w:rPr>
          <w:rFonts w:ascii="Times New Roman" w:hAnsi="Times New Roman" w:cs="Times New Roman"/>
          <w:noProof/>
          <w:color w:val="auto"/>
          <w:sz w:val="22"/>
        </w:rPr>
        <w:t>3</w:t>
      </w:r>
      <w:r w:rsidR="00E07412" w:rsidRPr="00957336">
        <w:rPr>
          <w:rFonts w:ascii="Times New Roman" w:hAnsi="Times New Roman" w:cs="Times New Roman"/>
          <w:color w:val="auto"/>
          <w:sz w:val="22"/>
        </w:rPr>
        <w:fldChar w:fldCharType="end"/>
      </w:r>
      <w:r w:rsidRPr="00957336">
        <w:rPr>
          <w:rFonts w:ascii="Times New Roman" w:hAnsi="Times New Roman" w:cs="Times New Roman"/>
          <w:color w:val="auto"/>
          <w:sz w:val="22"/>
        </w:rPr>
        <w:t xml:space="preserve"> Fuel distribution impact on emission performance N=1000rpm, IMEP=4.5-4.7bar</w:t>
      </w:r>
    </w:p>
    <w:p w:rsidR="00957336" w:rsidRDefault="00957336" w:rsidP="00957336">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It is evident from the figure that </w:t>
      </w:r>
      <w:proofErr w:type="spellStart"/>
      <w:r>
        <w:rPr>
          <w:rFonts w:ascii="Times New Roman" w:hAnsi="Times New Roman" w:cs="Times New Roman"/>
          <w:sz w:val="24"/>
        </w:rPr>
        <w:t>NOx</w:t>
      </w:r>
      <w:proofErr w:type="spellEnd"/>
      <w:r>
        <w:rPr>
          <w:rFonts w:ascii="Times New Roman" w:hAnsi="Times New Roman" w:cs="Times New Roman"/>
          <w:sz w:val="24"/>
        </w:rPr>
        <w:t xml:space="preserve"> decreases with increasing EGR and soot decreases with increasing injection pressure.</w:t>
      </w:r>
    </w:p>
    <w:p w:rsidR="00957336" w:rsidRDefault="00957336" w:rsidP="00957336">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Reduction in </w:t>
      </w:r>
      <w:proofErr w:type="spellStart"/>
      <w:r>
        <w:rPr>
          <w:rFonts w:ascii="Times New Roman" w:hAnsi="Times New Roman" w:cs="Times New Roman"/>
          <w:sz w:val="24"/>
        </w:rPr>
        <w:t>NOx</w:t>
      </w:r>
      <w:proofErr w:type="spellEnd"/>
      <w:r>
        <w:rPr>
          <w:rFonts w:ascii="Times New Roman" w:hAnsi="Times New Roman" w:cs="Times New Roman"/>
          <w:sz w:val="24"/>
        </w:rPr>
        <w:t xml:space="preserve"> is due to reduced temperatures in the combustion chamber because of dilution while soot reduction is attributed to penetration of fuel and homogeneous equivalence ratio at higher injection pressure</w:t>
      </w:r>
    </w:p>
    <w:p w:rsidR="0033709D" w:rsidRDefault="0033709D" w:rsidP="0033709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 EGR was maintained at 55% and </w:t>
      </w:r>
      <w:proofErr w:type="gramStart"/>
      <w:r>
        <w:rPr>
          <w:rFonts w:ascii="Times New Roman" w:hAnsi="Times New Roman" w:cs="Times New Roman"/>
          <w:sz w:val="24"/>
        </w:rPr>
        <w:t>SOI(</w:t>
      </w:r>
      <w:proofErr w:type="gramEnd"/>
      <w:r>
        <w:rPr>
          <w:rFonts w:ascii="Times New Roman" w:hAnsi="Times New Roman" w:cs="Times New Roman"/>
          <w:sz w:val="24"/>
        </w:rPr>
        <w:t xml:space="preserve">Start of injection) was changed to see the effect on UHC and </w:t>
      </w:r>
      <w:proofErr w:type="spellStart"/>
      <w:r>
        <w:rPr>
          <w:rFonts w:ascii="Times New Roman" w:hAnsi="Times New Roman" w:cs="Times New Roman"/>
          <w:sz w:val="24"/>
        </w:rPr>
        <w:t>NOx</w:t>
      </w:r>
      <w:proofErr w:type="spellEnd"/>
      <w:r>
        <w:rPr>
          <w:rFonts w:ascii="Times New Roman" w:hAnsi="Times New Roman" w:cs="Times New Roman"/>
          <w:sz w:val="24"/>
        </w:rPr>
        <w:t xml:space="preserve"> and measured values</w:t>
      </w:r>
      <w:r w:rsidR="0089406B">
        <w:rPr>
          <w:rFonts w:ascii="Times New Roman" w:hAnsi="Times New Roman" w:cs="Times New Roman"/>
          <w:sz w:val="24"/>
        </w:rPr>
        <w:t xml:space="preserve"> are</w:t>
      </w:r>
      <w:r>
        <w:rPr>
          <w:rFonts w:ascii="Times New Roman" w:hAnsi="Times New Roman" w:cs="Times New Roman"/>
          <w:sz w:val="24"/>
        </w:rPr>
        <w:t xml:space="preserve"> presented in table 2. As SOI approaches TDC, clearly UHC decreases</w:t>
      </w:r>
    </w:p>
    <w:p w:rsidR="0033709D" w:rsidRDefault="0033709D" w:rsidP="0033709D">
      <w:pPr>
        <w:pStyle w:val="ListParagraph"/>
        <w:numPr>
          <w:ilvl w:val="0"/>
          <w:numId w:val="3"/>
        </w:numPr>
        <w:rPr>
          <w:rFonts w:ascii="Times New Roman" w:hAnsi="Times New Roman" w:cs="Times New Roman"/>
          <w:sz w:val="24"/>
        </w:rPr>
      </w:pPr>
      <w:r>
        <w:rPr>
          <w:rFonts w:ascii="Times New Roman" w:hAnsi="Times New Roman" w:cs="Times New Roman"/>
          <w:sz w:val="24"/>
        </w:rPr>
        <w:t>It has been experimentally verified that an Ignition Delay(ID) of 10</w:t>
      </w:r>
      <w:r>
        <w:rPr>
          <w:rFonts w:ascii="Times New Roman" w:hAnsi="Times New Roman" w:cs="Times New Roman"/>
          <w:sz w:val="24"/>
          <w:vertAlign w:val="superscript"/>
        </w:rPr>
        <w:t>o</w:t>
      </w:r>
      <w:r>
        <w:rPr>
          <w:rFonts w:ascii="Times New Roman" w:hAnsi="Times New Roman" w:cs="Times New Roman"/>
          <w:sz w:val="24"/>
        </w:rPr>
        <w:t>-7</w:t>
      </w:r>
      <w:r w:rsidRPr="0033709D">
        <w:rPr>
          <w:rFonts w:ascii="Times New Roman" w:hAnsi="Times New Roman" w:cs="Times New Roman"/>
          <w:sz w:val="24"/>
          <w:vertAlign w:val="superscript"/>
        </w:rPr>
        <w:t>o</w:t>
      </w:r>
      <w:r>
        <w:rPr>
          <w:rFonts w:ascii="Times New Roman" w:hAnsi="Times New Roman" w:cs="Times New Roman"/>
          <w:sz w:val="24"/>
          <w:vertAlign w:val="superscript"/>
        </w:rPr>
        <w:t xml:space="preserve"> </w:t>
      </w:r>
      <w:r>
        <w:rPr>
          <w:rFonts w:ascii="Times New Roman" w:hAnsi="Times New Roman" w:cs="Times New Roman"/>
          <w:sz w:val="24"/>
        </w:rPr>
        <w:t xml:space="preserve">is required for mixing </w:t>
      </w:r>
    </w:p>
    <w:p w:rsidR="0033709D" w:rsidRDefault="0033709D" w:rsidP="0033709D">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 xml:space="preserve">Increase in injection pressure by 15 </w:t>
      </w:r>
      <w:proofErr w:type="spellStart"/>
      <w:r>
        <w:rPr>
          <w:rFonts w:ascii="Times New Roman" w:hAnsi="Times New Roman" w:cs="Times New Roman"/>
          <w:sz w:val="24"/>
        </w:rPr>
        <w:t>kPa</w:t>
      </w:r>
      <w:proofErr w:type="spellEnd"/>
      <w:r>
        <w:rPr>
          <w:rFonts w:ascii="Times New Roman" w:hAnsi="Times New Roman" w:cs="Times New Roman"/>
          <w:sz w:val="24"/>
        </w:rPr>
        <w:t xml:space="preserve"> reduces FSN by a unit of 1. Also, FSN reduces by 1unit for every 5</w:t>
      </w:r>
      <w:r w:rsidRPr="0033709D">
        <w:rPr>
          <w:rFonts w:ascii="Times New Roman" w:hAnsi="Times New Roman" w:cs="Times New Roman"/>
          <w:sz w:val="24"/>
          <w:vertAlign w:val="superscript"/>
        </w:rPr>
        <w:t>o</w:t>
      </w:r>
      <w:r>
        <w:rPr>
          <w:rFonts w:ascii="Times New Roman" w:hAnsi="Times New Roman" w:cs="Times New Roman"/>
          <w:sz w:val="24"/>
        </w:rPr>
        <w:t xml:space="preserve"> delay</w:t>
      </w:r>
    </w:p>
    <w:p w:rsidR="0033709D" w:rsidRDefault="0033709D" w:rsidP="0033709D">
      <w:pPr>
        <w:pStyle w:val="ListParagraph"/>
        <w:rPr>
          <w:rFonts w:ascii="Times New Roman" w:hAnsi="Times New Roman" w:cs="Times New Roman"/>
          <w:sz w:val="24"/>
        </w:rPr>
      </w:pPr>
    </w:p>
    <w:p w:rsidR="0033709D" w:rsidRPr="006F5296" w:rsidRDefault="0033709D" w:rsidP="006F5296">
      <w:pPr>
        <w:pStyle w:val="ListParagraph"/>
        <w:jc w:val="center"/>
        <w:rPr>
          <w:rFonts w:ascii="Times New Roman" w:hAnsi="Times New Roman" w:cs="Times New Roman"/>
          <w:b/>
          <w:sz w:val="24"/>
        </w:rPr>
      </w:pPr>
      <w:r w:rsidRPr="006F5296">
        <w:rPr>
          <w:rFonts w:ascii="Times New Roman" w:hAnsi="Times New Roman" w:cs="Times New Roman"/>
          <w:b/>
          <w:sz w:val="24"/>
        </w:rPr>
        <w:t>Tabl</w:t>
      </w:r>
      <w:r w:rsidR="006F5296" w:rsidRPr="006F5296">
        <w:rPr>
          <w:rFonts w:ascii="Times New Roman" w:hAnsi="Times New Roman" w:cs="Times New Roman"/>
          <w:b/>
          <w:sz w:val="24"/>
        </w:rPr>
        <w:t xml:space="preserve">e 2 Experimental values of UHC and </w:t>
      </w:r>
      <w:proofErr w:type="spellStart"/>
      <w:r w:rsidR="006F5296" w:rsidRPr="006F5296">
        <w:rPr>
          <w:rFonts w:ascii="Times New Roman" w:hAnsi="Times New Roman" w:cs="Times New Roman"/>
          <w:b/>
          <w:sz w:val="24"/>
        </w:rPr>
        <w:t>NOx</w:t>
      </w:r>
      <w:proofErr w:type="spellEnd"/>
      <w:r w:rsidR="006F5296" w:rsidRPr="006F5296">
        <w:rPr>
          <w:rFonts w:ascii="Times New Roman" w:hAnsi="Times New Roman" w:cs="Times New Roman"/>
          <w:b/>
          <w:sz w:val="24"/>
        </w:rPr>
        <w:t xml:space="preserve"> </w:t>
      </w:r>
      <w:proofErr w:type="spellStart"/>
      <w:r w:rsidR="006F5296" w:rsidRPr="006F5296">
        <w:rPr>
          <w:rFonts w:ascii="Times New Roman" w:hAnsi="Times New Roman" w:cs="Times New Roman"/>
          <w:b/>
          <w:sz w:val="24"/>
        </w:rPr>
        <w:t>whn</w:t>
      </w:r>
      <w:proofErr w:type="spellEnd"/>
      <w:r w:rsidR="006F5296" w:rsidRPr="006F5296">
        <w:rPr>
          <w:rFonts w:ascii="Times New Roman" w:hAnsi="Times New Roman" w:cs="Times New Roman"/>
          <w:b/>
          <w:sz w:val="24"/>
        </w:rPr>
        <w:t xml:space="preserve"> SOI is varied with constant EGR</w:t>
      </w:r>
    </w:p>
    <w:tbl>
      <w:tblPr>
        <w:tblStyle w:val="LightShading1"/>
        <w:tblW w:w="0" w:type="auto"/>
        <w:jc w:val="center"/>
        <w:tblLook w:val="04A0"/>
      </w:tblPr>
      <w:tblGrid>
        <w:gridCol w:w="1326"/>
        <w:gridCol w:w="1186"/>
        <w:gridCol w:w="1524"/>
      </w:tblGrid>
      <w:tr w:rsidR="0033709D" w:rsidTr="006F5296">
        <w:trPr>
          <w:cnfStyle w:val="100000000000"/>
          <w:trHeight w:val="538"/>
          <w:jc w:val="center"/>
        </w:trPr>
        <w:tc>
          <w:tcPr>
            <w:cnfStyle w:val="001000000000"/>
            <w:tcW w:w="1326" w:type="dxa"/>
          </w:tcPr>
          <w:p w:rsidR="0033709D" w:rsidRDefault="0033709D" w:rsidP="0033709D">
            <w:pPr>
              <w:rPr>
                <w:rFonts w:ascii="Times New Roman" w:hAnsi="Times New Roman" w:cs="Times New Roman"/>
                <w:sz w:val="24"/>
              </w:rPr>
            </w:pPr>
            <w:r>
              <w:rPr>
                <w:rFonts w:ascii="Times New Roman" w:hAnsi="Times New Roman" w:cs="Times New Roman"/>
                <w:sz w:val="24"/>
              </w:rPr>
              <w:t>SOI (BTDC)</w:t>
            </w:r>
          </w:p>
        </w:tc>
        <w:tc>
          <w:tcPr>
            <w:tcW w:w="1186" w:type="dxa"/>
          </w:tcPr>
          <w:p w:rsidR="0033709D" w:rsidRDefault="0033709D" w:rsidP="0033709D">
            <w:pPr>
              <w:cnfStyle w:val="100000000000"/>
              <w:rPr>
                <w:rFonts w:ascii="Times New Roman" w:hAnsi="Times New Roman" w:cs="Times New Roman"/>
                <w:sz w:val="24"/>
              </w:rPr>
            </w:pPr>
            <w:r>
              <w:rPr>
                <w:rFonts w:ascii="Times New Roman" w:hAnsi="Times New Roman" w:cs="Times New Roman"/>
                <w:sz w:val="24"/>
              </w:rPr>
              <w:t>UHC (</w:t>
            </w:r>
            <w:proofErr w:type="spellStart"/>
            <w:r>
              <w:rPr>
                <w:rFonts w:ascii="Times New Roman" w:hAnsi="Times New Roman" w:cs="Times New Roman"/>
                <w:sz w:val="24"/>
              </w:rPr>
              <w:t>ppm</w:t>
            </w:r>
            <w:proofErr w:type="spellEnd"/>
            <w:r>
              <w:rPr>
                <w:rFonts w:ascii="Times New Roman" w:hAnsi="Times New Roman" w:cs="Times New Roman"/>
                <w:sz w:val="24"/>
              </w:rPr>
              <w:t>)</w:t>
            </w:r>
          </w:p>
        </w:tc>
        <w:tc>
          <w:tcPr>
            <w:tcW w:w="1524" w:type="dxa"/>
          </w:tcPr>
          <w:p w:rsidR="0033709D" w:rsidRDefault="0033709D" w:rsidP="0033709D">
            <w:pPr>
              <w:cnfStyle w:val="100000000000"/>
              <w:rPr>
                <w:rFonts w:ascii="Times New Roman" w:hAnsi="Times New Roman" w:cs="Times New Roman"/>
                <w:sz w:val="24"/>
              </w:rPr>
            </w:pPr>
            <w:proofErr w:type="spellStart"/>
            <w:r>
              <w:rPr>
                <w:rFonts w:ascii="Times New Roman" w:hAnsi="Times New Roman" w:cs="Times New Roman"/>
                <w:sz w:val="24"/>
              </w:rPr>
              <w:t>NOx</w:t>
            </w:r>
            <w:proofErr w:type="spellEnd"/>
            <w:r>
              <w:rPr>
                <w:rFonts w:ascii="Times New Roman" w:hAnsi="Times New Roman" w:cs="Times New Roman"/>
                <w:sz w:val="24"/>
              </w:rPr>
              <w:t>(</w:t>
            </w:r>
            <w:proofErr w:type="spellStart"/>
            <w:r>
              <w:rPr>
                <w:rFonts w:ascii="Times New Roman" w:hAnsi="Times New Roman" w:cs="Times New Roman"/>
                <w:sz w:val="24"/>
              </w:rPr>
              <w:t>ppm</w:t>
            </w:r>
            <w:proofErr w:type="spellEnd"/>
            <w:r>
              <w:rPr>
                <w:rFonts w:ascii="Times New Roman" w:hAnsi="Times New Roman" w:cs="Times New Roman"/>
                <w:sz w:val="24"/>
              </w:rPr>
              <w:t>)</w:t>
            </w:r>
          </w:p>
        </w:tc>
      </w:tr>
      <w:tr w:rsidR="0033709D" w:rsidTr="006F5296">
        <w:trPr>
          <w:cnfStyle w:val="000000100000"/>
          <w:trHeight w:val="275"/>
          <w:jc w:val="center"/>
        </w:trPr>
        <w:tc>
          <w:tcPr>
            <w:cnfStyle w:val="001000000000"/>
            <w:tcW w:w="1326" w:type="dxa"/>
          </w:tcPr>
          <w:p w:rsidR="0033709D" w:rsidRDefault="0033709D" w:rsidP="0033709D">
            <w:pPr>
              <w:rPr>
                <w:rFonts w:ascii="Times New Roman" w:hAnsi="Times New Roman" w:cs="Times New Roman"/>
                <w:sz w:val="24"/>
              </w:rPr>
            </w:pPr>
            <w:r>
              <w:rPr>
                <w:rFonts w:ascii="Times New Roman" w:hAnsi="Times New Roman" w:cs="Times New Roman"/>
                <w:sz w:val="24"/>
              </w:rPr>
              <w:t>11</w:t>
            </w:r>
          </w:p>
        </w:tc>
        <w:tc>
          <w:tcPr>
            <w:tcW w:w="1186" w:type="dxa"/>
          </w:tcPr>
          <w:p w:rsidR="0033709D" w:rsidRDefault="0033709D" w:rsidP="0033709D">
            <w:pPr>
              <w:cnfStyle w:val="000000100000"/>
              <w:rPr>
                <w:rFonts w:ascii="Times New Roman" w:hAnsi="Times New Roman" w:cs="Times New Roman"/>
                <w:sz w:val="24"/>
              </w:rPr>
            </w:pPr>
            <w:r>
              <w:rPr>
                <w:rFonts w:ascii="Times New Roman" w:hAnsi="Times New Roman" w:cs="Times New Roman"/>
                <w:sz w:val="24"/>
              </w:rPr>
              <w:t>5000</w:t>
            </w:r>
          </w:p>
        </w:tc>
        <w:tc>
          <w:tcPr>
            <w:tcW w:w="1524" w:type="dxa"/>
          </w:tcPr>
          <w:p w:rsidR="0033709D" w:rsidRDefault="0033709D" w:rsidP="0033709D">
            <w:pPr>
              <w:cnfStyle w:val="000000100000"/>
              <w:rPr>
                <w:rFonts w:ascii="Times New Roman" w:hAnsi="Times New Roman" w:cs="Times New Roman"/>
                <w:sz w:val="24"/>
              </w:rPr>
            </w:pPr>
            <w:r>
              <w:rPr>
                <w:rFonts w:ascii="Times New Roman" w:hAnsi="Times New Roman" w:cs="Times New Roman"/>
                <w:sz w:val="24"/>
              </w:rPr>
              <w:t>Below 15</w:t>
            </w:r>
          </w:p>
        </w:tc>
      </w:tr>
      <w:tr w:rsidR="0033709D" w:rsidTr="006F5296">
        <w:trPr>
          <w:trHeight w:val="288"/>
          <w:jc w:val="center"/>
        </w:trPr>
        <w:tc>
          <w:tcPr>
            <w:cnfStyle w:val="001000000000"/>
            <w:tcW w:w="1326" w:type="dxa"/>
          </w:tcPr>
          <w:p w:rsidR="0033709D" w:rsidRDefault="0033709D" w:rsidP="0033709D">
            <w:pPr>
              <w:rPr>
                <w:rFonts w:ascii="Times New Roman" w:hAnsi="Times New Roman" w:cs="Times New Roman"/>
                <w:sz w:val="24"/>
              </w:rPr>
            </w:pPr>
            <w:r>
              <w:rPr>
                <w:rFonts w:ascii="Times New Roman" w:hAnsi="Times New Roman" w:cs="Times New Roman"/>
                <w:sz w:val="24"/>
              </w:rPr>
              <w:t>6</w:t>
            </w:r>
          </w:p>
        </w:tc>
        <w:tc>
          <w:tcPr>
            <w:tcW w:w="1186" w:type="dxa"/>
          </w:tcPr>
          <w:p w:rsidR="0033709D" w:rsidRDefault="0033709D" w:rsidP="0033709D">
            <w:pPr>
              <w:cnfStyle w:val="000000000000"/>
              <w:rPr>
                <w:rFonts w:ascii="Times New Roman" w:hAnsi="Times New Roman" w:cs="Times New Roman"/>
                <w:sz w:val="24"/>
              </w:rPr>
            </w:pPr>
            <w:r>
              <w:rPr>
                <w:rFonts w:ascii="Times New Roman" w:hAnsi="Times New Roman" w:cs="Times New Roman"/>
                <w:sz w:val="24"/>
              </w:rPr>
              <w:t>1800</w:t>
            </w:r>
          </w:p>
        </w:tc>
        <w:tc>
          <w:tcPr>
            <w:tcW w:w="1524" w:type="dxa"/>
          </w:tcPr>
          <w:p w:rsidR="0033709D" w:rsidRDefault="0033709D" w:rsidP="0033709D">
            <w:pPr>
              <w:cnfStyle w:val="000000000000"/>
              <w:rPr>
                <w:rFonts w:ascii="Times New Roman" w:hAnsi="Times New Roman" w:cs="Times New Roman"/>
                <w:sz w:val="24"/>
              </w:rPr>
            </w:pPr>
            <w:r>
              <w:rPr>
                <w:rFonts w:ascii="Times New Roman" w:hAnsi="Times New Roman" w:cs="Times New Roman"/>
                <w:sz w:val="24"/>
              </w:rPr>
              <w:t>Below 15</w:t>
            </w:r>
          </w:p>
        </w:tc>
      </w:tr>
    </w:tbl>
    <w:p w:rsidR="0033709D" w:rsidRDefault="0033709D" w:rsidP="0033709D">
      <w:pPr>
        <w:rPr>
          <w:rFonts w:ascii="Times New Roman" w:hAnsi="Times New Roman" w:cs="Times New Roman"/>
          <w:sz w:val="24"/>
        </w:rPr>
      </w:pPr>
      <w:r>
        <w:rPr>
          <w:rFonts w:ascii="Times New Roman" w:hAnsi="Times New Roman" w:cs="Times New Roman"/>
          <w:sz w:val="24"/>
        </w:rPr>
        <w:t xml:space="preserve"> </w:t>
      </w:r>
    </w:p>
    <w:p w:rsidR="0033709D" w:rsidRDefault="00C35E93" w:rsidP="0033709D">
      <w:pPr>
        <w:rPr>
          <w:rFonts w:ascii="Times New Roman" w:hAnsi="Times New Roman" w:cs="Times New Roman"/>
          <w:sz w:val="24"/>
        </w:rPr>
      </w:pPr>
      <w:r>
        <w:rPr>
          <w:rFonts w:ascii="Times New Roman" w:hAnsi="Times New Roman" w:cs="Times New Roman"/>
          <w:sz w:val="24"/>
        </w:rPr>
        <w:t>Following can be concluded from reference 2</w:t>
      </w:r>
    </w:p>
    <w:p w:rsidR="0033709D" w:rsidRDefault="00C35E93" w:rsidP="0033709D">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EGR percentages have a huge impact on </w:t>
      </w:r>
      <w:proofErr w:type="spellStart"/>
      <w:r>
        <w:rPr>
          <w:rFonts w:ascii="Times New Roman" w:hAnsi="Times New Roman" w:cs="Times New Roman"/>
          <w:sz w:val="24"/>
        </w:rPr>
        <w:t>NOx</w:t>
      </w:r>
      <w:proofErr w:type="spellEnd"/>
      <w:r>
        <w:rPr>
          <w:rFonts w:ascii="Times New Roman" w:hAnsi="Times New Roman" w:cs="Times New Roman"/>
          <w:sz w:val="24"/>
        </w:rPr>
        <w:t xml:space="preserve"> but it has a negative impact in terms of increasing UHC </w:t>
      </w:r>
    </w:p>
    <w:p w:rsidR="00C35E93" w:rsidRDefault="000F6BA6" w:rsidP="0033709D">
      <w:pPr>
        <w:pStyle w:val="ListParagraph"/>
        <w:numPr>
          <w:ilvl w:val="0"/>
          <w:numId w:val="5"/>
        </w:numPr>
        <w:rPr>
          <w:rFonts w:ascii="Times New Roman" w:hAnsi="Times New Roman" w:cs="Times New Roman"/>
          <w:sz w:val="24"/>
        </w:rPr>
      </w:pPr>
      <w:r>
        <w:rPr>
          <w:rFonts w:ascii="Times New Roman" w:hAnsi="Times New Roman" w:cs="Times New Roman"/>
          <w:sz w:val="24"/>
        </w:rPr>
        <w:t>As injection timing is closer to TDC, UHC decreases as vaporization of fuel increases</w:t>
      </w:r>
    </w:p>
    <w:p w:rsidR="00116247" w:rsidRDefault="000F6BA6" w:rsidP="0011624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Increase in injection pressure decreases soot because of greater penetration of fuel </w:t>
      </w:r>
      <w:r w:rsidR="00116247">
        <w:rPr>
          <w:rFonts w:ascii="Times New Roman" w:hAnsi="Times New Roman" w:cs="Times New Roman"/>
          <w:sz w:val="24"/>
        </w:rPr>
        <w:t>into the combustion chamber which leads to homogeneous equivalence ratios</w:t>
      </w:r>
    </w:p>
    <w:p w:rsidR="0062141F" w:rsidRDefault="0062141F" w:rsidP="00116247">
      <w:pPr>
        <w:rPr>
          <w:rFonts w:ascii="Times New Roman" w:hAnsi="Times New Roman" w:cs="Times New Roman"/>
          <w:sz w:val="24"/>
        </w:rPr>
      </w:pPr>
    </w:p>
    <w:p w:rsidR="006F5296" w:rsidRDefault="006F5296" w:rsidP="00116247">
      <w:pPr>
        <w:rPr>
          <w:rFonts w:ascii="Times New Roman" w:hAnsi="Times New Roman" w:cs="Times New Roman"/>
          <w:b/>
          <w:sz w:val="24"/>
        </w:rPr>
      </w:pPr>
    </w:p>
    <w:p w:rsidR="00116247" w:rsidRPr="0062141F" w:rsidRDefault="00116247" w:rsidP="00116247">
      <w:pPr>
        <w:rPr>
          <w:rFonts w:ascii="Times New Roman" w:hAnsi="Times New Roman" w:cs="Times New Roman"/>
          <w:b/>
          <w:sz w:val="24"/>
        </w:rPr>
      </w:pPr>
      <w:r w:rsidRPr="0062141F">
        <w:rPr>
          <w:rFonts w:ascii="Times New Roman" w:hAnsi="Times New Roman" w:cs="Times New Roman"/>
          <w:b/>
          <w:sz w:val="24"/>
        </w:rPr>
        <w:t>Summary and conclusions</w:t>
      </w:r>
    </w:p>
    <w:p w:rsidR="00116247" w:rsidRDefault="00116247" w:rsidP="00116247">
      <w:pPr>
        <w:rPr>
          <w:rFonts w:ascii="Times New Roman" w:hAnsi="Times New Roman" w:cs="Times New Roman"/>
          <w:sz w:val="24"/>
        </w:rPr>
      </w:pPr>
      <w:r>
        <w:rPr>
          <w:rFonts w:ascii="Times New Roman" w:hAnsi="Times New Roman" w:cs="Times New Roman"/>
          <w:sz w:val="24"/>
        </w:rPr>
        <w:t xml:space="preserve">Important variables that play an important role in reducing in-cylinder temperatures for promoting LTC are EGR percentage, injection pressure and ignition delay. All these parameters promote lower in-cylinder temperatures and hence lower </w:t>
      </w:r>
      <w:proofErr w:type="spellStart"/>
      <w:r>
        <w:rPr>
          <w:rFonts w:ascii="Times New Roman" w:hAnsi="Times New Roman" w:cs="Times New Roman"/>
          <w:sz w:val="24"/>
        </w:rPr>
        <w:t>NOx</w:t>
      </w:r>
      <w:proofErr w:type="spellEnd"/>
      <w:r>
        <w:rPr>
          <w:rFonts w:ascii="Times New Roman" w:hAnsi="Times New Roman" w:cs="Times New Roman"/>
          <w:sz w:val="24"/>
        </w:rPr>
        <w:t xml:space="preserve">, but, increase UHC and soot if not used strategically. The experimental results </w:t>
      </w:r>
      <w:r>
        <w:rPr>
          <w:rFonts w:ascii="Times New Roman" w:hAnsi="Times New Roman" w:cs="Times New Roman"/>
          <w:sz w:val="24"/>
        </w:rPr>
        <w:lastRenderedPageBreak/>
        <w:t>obtained through literature survey provide evidence that optimization of these parameters helps improve the performance emissions of an engine when compared to conventional CI engine. But these tests have not been performed on entire load range on an engine. It has also been mentioned in these references that it is difficult to implement these strategies at higher and varying loads, typical in an automobile application.</w:t>
      </w:r>
    </w:p>
    <w:p w:rsidR="001D0D96" w:rsidRPr="0062141F" w:rsidRDefault="001D0D96" w:rsidP="00116247">
      <w:pPr>
        <w:rPr>
          <w:rFonts w:ascii="Times New Roman" w:hAnsi="Times New Roman" w:cs="Times New Roman"/>
          <w:b/>
          <w:sz w:val="24"/>
        </w:rPr>
      </w:pPr>
      <w:r w:rsidRPr="0062141F">
        <w:rPr>
          <w:rFonts w:ascii="Times New Roman" w:hAnsi="Times New Roman" w:cs="Times New Roman"/>
          <w:b/>
          <w:sz w:val="24"/>
        </w:rPr>
        <w:t>References</w:t>
      </w:r>
    </w:p>
    <w:p w:rsidR="001D0D96" w:rsidRDefault="001D0D96" w:rsidP="001D0D96">
      <w:pPr>
        <w:pStyle w:val="ListParagraph"/>
        <w:numPr>
          <w:ilvl w:val="0"/>
          <w:numId w:val="7"/>
        </w:numPr>
        <w:rPr>
          <w:rFonts w:ascii="Times New Roman" w:hAnsi="Times New Roman" w:cs="Times New Roman"/>
          <w:sz w:val="24"/>
        </w:rPr>
      </w:pPr>
      <w:proofErr w:type="spellStart"/>
      <w:r>
        <w:rPr>
          <w:rFonts w:ascii="Times New Roman" w:hAnsi="Times New Roman" w:cs="Times New Roman"/>
          <w:sz w:val="24"/>
        </w:rPr>
        <w:t>Shuji</w:t>
      </w:r>
      <w:proofErr w:type="spellEnd"/>
      <w:r>
        <w:rPr>
          <w:rFonts w:ascii="Times New Roman" w:hAnsi="Times New Roman" w:cs="Times New Roman"/>
          <w:sz w:val="24"/>
        </w:rPr>
        <w:t xml:space="preserve"> Kimura, </w:t>
      </w:r>
      <w:proofErr w:type="spellStart"/>
      <w:r>
        <w:rPr>
          <w:rFonts w:ascii="Times New Roman" w:hAnsi="Times New Roman" w:cs="Times New Roman"/>
          <w:sz w:val="24"/>
        </w:rPr>
        <w:t>Osam</w:t>
      </w:r>
      <w:proofErr w:type="spellEnd"/>
      <w:r>
        <w:rPr>
          <w:rFonts w:ascii="Times New Roman" w:hAnsi="Times New Roman" w:cs="Times New Roman"/>
          <w:sz w:val="24"/>
        </w:rPr>
        <w:t xml:space="preserve"> Aoki,</w:t>
      </w:r>
      <w:r w:rsidRPr="001D0D96">
        <w:t xml:space="preserve"> </w:t>
      </w:r>
      <w:r w:rsidRPr="001D0D96">
        <w:rPr>
          <w:rFonts w:ascii="Times New Roman" w:hAnsi="Times New Roman" w:cs="Times New Roman"/>
          <w:sz w:val="24"/>
        </w:rPr>
        <w:t xml:space="preserve">Yasuhisa </w:t>
      </w:r>
      <w:proofErr w:type="spellStart"/>
      <w:r w:rsidRPr="001D0D96">
        <w:rPr>
          <w:rFonts w:ascii="Times New Roman" w:hAnsi="Times New Roman" w:cs="Times New Roman"/>
          <w:sz w:val="24"/>
        </w:rPr>
        <w:t>Kitahara</w:t>
      </w:r>
      <w:proofErr w:type="spellEnd"/>
      <w:r w:rsidRPr="001D0D96">
        <w:rPr>
          <w:rFonts w:ascii="Times New Roman" w:hAnsi="Times New Roman" w:cs="Times New Roman"/>
          <w:sz w:val="24"/>
        </w:rPr>
        <w:t xml:space="preserve">, </w:t>
      </w:r>
      <w:proofErr w:type="spellStart"/>
      <w:r w:rsidRPr="001D0D96">
        <w:rPr>
          <w:rFonts w:ascii="Times New Roman" w:hAnsi="Times New Roman" w:cs="Times New Roman"/>
          <w:sz w:val="24"/>
        </w:rPr>
        <w:t>Eiji</w:t>
      </w:r>
      <w:proofErr w:type="spellEnd"/>
      <w:r w:rsidRPr="001D0D96">
        <w:rPr>
          <w:rFonts w:ascii="Times New Roman" w:hAnsi="Times New Roman" w:cs="Times New Roman"/>
          <w:sz w:val="24"/>
        </w:rPr>
        <w:t xml:space="preserve"> </w:t>
      </w:r>
      <w:proofErr w:type="spellStart"/>
      <w:r w:rsidRPr="001D0D96">
        <w:rPr>
          <w:rFonts w:ascii="Times New Roman" w:hAnsi="Times New Roman" w:cs="Times New Roman"/>
          <w:sz w:val="24"/>
        </w:rPr>
        <w:t>Aiyoshizawa</w:t>
      </w:r>
      <w:proofErr w:type="spellEnd"/>
      <w:r>
        <w:rPr>
          <w:rFonts w:ascii="Times New Roman" w:hAnsi="Times New Roman" w:cs="Times New Roman"/>
          <w:sz w:val="24"/>
        </w:rPr>
        <w:t>, “</w:t>
      </w:r>
      <w:r w:rsidRPr="001D0D96">
        <w:rPr>
          <w:rFonts w:ascii="Times New Roman" w:hAnsi="Times New Roman" w:cs="Times New Roman"/>
          <w:sz w:val="24"/>
        </w:rPr>
        <w:t xml:space="preserve">Ultra-Clean Combustion Technology Combining a Low-Temperature and Premixed Combustion Concept for Meeting Future Emission </w:t>
      </w:r>
      <w:proofErr w:type="spellStart"/>
      <w:r w:rsidRPr="001D0D96">
        <w:rPr>
          <w:rFonts w:ascii="Times New Roman" w:hAnsi="Times New Roman" w:cs="Times New Roman"/>
          <w:sz w:val="24"/>
        </w:rPr>
        <w:t>Standards”,SAE</w:t>
      </w:r>
      <w:proofErr w:type="spellEnd"/>
      <w:r w:rsidRPr="001D0D96">
        <w:rPr>
          <w:rFonts w:ascii="Times New Roman" w:hAnsi="Times New Roman" w:cs="Times New Roman"/>
          <w:sz w:val="24"/>
        </w:rPr>
        <w:t xml:space="preserve"> Technical Paper, 2001-01-0200,</w:t>
      </w:r>
      <w:r>
        <w:rPr>
          <w:rFonts w:ascii="Times New Roman" w:hAnsi="Times New Roman" w:cs="Times New Roman"/>
          <w:sz w:val="24"/>
        </w:rPr>
        <w:t xml:space="preserve"> </w:t>
      </w:r>
      <w:r w:rsidRPr="001D0D96">
        <w:rPr>
          <w:rFonts w:ascii="Times New Roman" w:hAnsi="Times New Roman" w:cs="Times New Roman"/>
          <w:sz w:val="24"/>
        </w:rPr>
        <w:t>2001</w:t>
      </w:r>
    </w:p>
    <w:p w:rsidR="001D0D96" w:rsidRPr="001D0D96" w:rsidRDefault="001D0D96" w:rsidP="001D0D96">
      <w:pPr>
        <w:pStyle w:val="ListParagraph"/>
        <w:numPr>
          <w:ilvl w:val="0"/>
          <w:numId w:val="7"/>
        </w:numPr>
        <w:rPr>
          <w:rFonts w:ascii="Times New Roman" w:hAnsi="Times New Roman" w:cs="Times New Roman"/>
          <w:sz w:val="24"/>
        </w:rPr>
      </w:pPr>
      <w:r w:rsidRPr="001D0D96">
        <w:rPr>
          <w:rFonts w:ascii="Times New Roman" w:hAnsi="Times New Roman" w:cs="Times New Roman"/>
          <w:sz w:val="24"/>
        </w:rPr>
        <w:t xml:space="preserve">William de Ojeda, Phil </w:t>
      </w:r>
      <w:proofErr w:type="spellStart"/>
      <w:r w:rsidRPr="001D0D96">
        <w:rPr>
          <w:rFonts w:ascii="Times New Roman" w:hAnsi="Times New Roman" w:cs="Times New Roman"/>
          <w:sz w:val="24"/>
        </w:rPr>
        <w:t>Zoldak</w:t>
      </w:r>
      <w:proofErr w:type="spellEnd"/>
      <w:r w:rsidRPr="001D0D96">
        <w:rPr>
          <w:rFonts w:ascii="Times New Roman" w:hAnsi="Times New Roman" w:cs="Times New Roman"/>
          <w:sz w:val="24"/>
        </w:rPr>
        <w:t>, Raul Espinosa, Raj Kumar, SAE, 2008-01-0057, 2008</w:t>
      </w:r>
    </w:p>
    <w:p w:rsidR="001D0D96" w:rsidRPr="001D0D96" w:rsidRDefault="001D0D96" w:rsidP="001D0D96">
      <w:pPr>
        <w:pStyle w:val="ListParagraph"/>
        <w:numPr>
          <w:ilvl w:val="0"/>
          <w:numId w:val="7"/>
        </w:numPr>
        <w:rPr>
          <w:rFonts w:ascii="Times New Roman" w:hAnsi="Times New Roman" w:cs="Times New Roman"/>
          <w:sz w:val="24"/>
        </w:rPr>
      </w:pPr>
      <w:r w:rsidRPr="001D0D96">
        <w:rPr>
          <w:rFonts w:ascii="Times New Roman" w:hAnsi="Times New Roman" w:cs="Times New Roman"/>
          <w:sz w:val="24"/>
        </w:rPr>
        <w:t xml:space="preserve">Mark P.B. </w:t>
      </w:r>
      <w:proofErr w:type="spellStart"/>
      <w:r w:rsidRPr="001D0D96">
        <w:rPr>
          <w:rFonts w:ascii="Times New Roman" w:hAnsi="Times New Roman" w:cs="Times New Roman"/>
          <w:sz w:val="24"/>
        </w:rPr>
        <w:t>Musculus</w:t>
      </w:r>
      <w:proofErr w:type="spellEnd"/>
      <w:r w:rsidRPr="001D0D96">
        <w:rPr>
          <w:rFonts w:ascii="Times New Roman" w:hAnsi="Times New Roman" w:cs="Times New Roman"/>
          <w:sz w:val="24"/>
        </w:rPr>
        <w:t>, Paul C. Miles, Lyle M. Pickett, Conceptual models for partially premixed low-temperature diesel combustion, Science-direct, 39 (2013) 246-283, 2013</w:t>
      </w:r>
    </w:p>
    <w:sectPr w:rsidR="001D0D96" w:rsidRPr="001D0D96" w:rsidSect="000140F3">
      <w:pgSz w:w="12240" w:h="15840"/>
      <w:pgMar w:top="99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0DD" w:rsidRDefault="006960DD" w:rsidP="000F0EA1">
      <w:pPr>
        <w:spacing w:after="0" w:line="240" w:lineRule="auto"/>
      </w:pPr>
      <w:r>
        <w:separator/>
      </w:r>
    </w:p>
  </w:endnote>
  <w:endnote w:type="continuationSeparator" w:id="0">
    <w:p w:rsidR="006960DD" w:rsidRDefault="006960DD" w:rsidP="000F0E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EA1" w:rsidRPr="000C7B5E" w:rsidRDefault="000F0EA1" w:rsidP="000F0EA1">
    <w:pPr>
      <w:tabs>
        <w:tab w:val="center" w:pos="4680"/>
        <w:tab w:val="right" w:pos="9360"/>
      </w:tabs>
      <w:rPr>
        <w:sz w:val="20"/>
        <w:szCs w:val="20"/>
      </w:rPr>
    </w:pPr>
    <w:proofErr w:type="spellStart"/>
    <w:r>
      <w:rPr>
        <w:sz w:val="20"/>
        <w:szCs w:val="20"/>
      </w:rPr>
      <w:t>A.Darbha</w:t>
    </w:r>
    <w:proofErr w:type="spellEnd"/>
    <w:r>
      <w:rPr>
        <w:sz w:val="20"/>
        <w:szCs w:val="20"/>
      </w:rPr>
      <w:t xml:space="preserve"> - </w:t>
    </w:r>
    <w:r w:rsidRPr="000C7B5E">
      <w:rPr>
        <w:sz w:val="20"/>
        <w:szCs w:val="20"/>
      </w:rPr>
      <w:t>MEEM 52</w:t>
    </w:r>
    <w:r>
      <w:rPr>
        <w:sz w:val="20"/>
        <w:szCs w:val="20"/>
      </w:rPr>
      <w:t>50 – Literature Review</w:t>
    </w:r>
    <w:r w:rsidRPr="000C7B5E">
      <w:rPr>
        <w:sz w:val="20"/>
        <w:szCs w:val="20"/>
      </w:rPr>
      <w:tab/>
    </w:r>
    <w:r>
      <w:rPr>
        <w:sz w:val="20"/>
        <w:szCs w:val="20"/>
      </w:rPr>
      <w:t>2013-11-1</w:t>
    </w:r>
    <w:r w:rsidRPr="000C7B5E">
      <w:rPr>
        <w:sz w:val="20"/>
        <w:szCs w:val="20"/>
      </w:rPr>
      <w:tab/>
    </w:r>
    <w:r w:rsidRPr="000C7B5E">
      <w:rPr>
        <w:color w:val="7F7F7F"/>
        <w:spacing w:val="60"/>
        <w:sz w:val="20"/>
        <w:szCs w:val="20"/>
      </w:rPr>
      <w:t>Page</w:t>
    </w:r>
    <w:r w:rsidRPr="000C7B5E">
      <w:rPr>
        <w:sz w:val="20"/>
        <w:szCs w:val="20"/>
      </w:rPr>
      <w:t xml:space="preserve"> | </w:t>
    </w:r>
    <w:r w:rsidR="00E07412" w:rsidRPr="000C7B5E">
      <w:rPr>
        <w:sz w:val="20"/>
        <w:szCs w:val="20"/>
      </w:rPr>
      <w:fldChar w:fldCharType="begin"/>
    </w:r>
    <w:r w:rsidRPr="000C7B5E">
      <w:rPr>
        <w:sz w:val="20"/>
        <w:szCs w:val="20"/>
      </w:rPr>
      <w:instrText xml:space="preserve"> PAGE   \* MERGEFORMAT </w:instrText>
    </w:r>
    <w:r w:rsidR="00E07412" w:rsidRPr="000C7B5E">
      <w:rPr>
        <w:sz w:val="20"/>
        <w:szCs w:val="20"/>
      </w:rPr>
      <w:fldChar w:fldCharType="separate"/>
    </w:r>
    <w:r w:rsidR="00153225" w:rsidRPr="00153225">
      <w:rPr>
        <w:b/>
        <w:noProof/>
        <w:sz w:val="20"/>
        <w:szCs w:val="20"/>
      </w:rPr>
      <w:t>6</w:t>
    </w:r>
    <w:r w:rsidR="00E07412" w:rsidRPr="000C7B5E">
      <w:rPr>
        <w:sz w:val="20"/>
        <w:szCs w:val="20"/>
      </w:rPr>
      <w:fldChar w:fldCharType="end"/>
    </w:r>
    <w:r w:rsidRPr="000C7B5E">
      <w:rPr>
        <w:sz w:val="20"/>
        <w:szCs w:val="20"/>
      </w:rPr>
      <w:t xml:space="preserve"> of </w:t>
    </w:r>
    <w:r w:rsidR="00E07412" w:rsidRPr="000C7B5E">
      <w:rPr>
        <w:sz w:val="20"/>
        <w:szCs w:val="20"/>
      </w:rPr>
      <w:fldChar w:fldCharType="begin"/>
    </w:r>
    <w:r w:rsidRPr="000C7B5E">
      <w:rPr>
        <w:sz w:val="20"/>
        <w:szCs w:val="20"/>
      </w:rPr>
      <w:instrText xml:space="preserve"> NUMPAGES  </w:instrText>
    </w:r>
    <w:r w:rsidR="00E07412" w:rsidRPr="000C7B5E">
      <w:rPr>
        <w:sz w:val="20"/>
        <w:szCs w:val="20"/>
      </w:rPr>
      <w:fldChar w:fldCharType="separate"/>
    </w:r>
    <w:r w:rsidR="00153225">
      <w:rPr>
        <w:noProof/>
        <w:sz w:val="20"/>
        <w:szCs w:val="20"/>
      </w:rPr>
      <w:t>6</w:t>
    </w:r>
    <w:r w:rsidR="00E07412" w:rsidRPr="000C7B5E">
      <w:rPr>
        <w:sz w:val="20"/>
        <w:szCs w:val="20"/>
      </w:rPr>
      <w:fldChar w:fldCharType="end"/>
    </w:r>
  </w:p>
  <w:p w:rsidR="000F0EA1" w:rsidRDefault="000F0EA1">
    <w:pPr>
      <w:pStyle w:val="Footer"/>
    </w:pPr>
  </w:p>
  <w:p w:rsidR="000F0EA1" w:rsidRDefault="000F0E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0DD" w:rsidRDefault="006960DD" w:rsidP="000F0EA1">
      <w:pPr>
        <w:spacing w:after="0" w:line="240" w:lineRule="auto"/>
      </w:pPr>
      <w:r>
        <w:separator/>
      </w:r>
    </w:p>
  </w:footnote>
  <w:footnote w:type="continuationSeparator" w:id="0">
    <w:p w:rsidR="006960DD" w:rsidRDefault="006960DD" w:rsidP="000F0E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44F82"/>
    <w:multiLevelType w:val="hybridMultilevel"/>
    <w:tmpl w:val="C5E8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4B7A6A"/>
    <w:multiLevelType w:val="hybridMultilevel"/>
    <w:tmpl w:val="1450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96C43"/>
    <w:multiLevelType w:val="hybridMultilevel"/>
    <w:tmpl w:val="03B4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0727B"/>
    <w:multiLevelType w:val="hybridMultilevel"/>
    <w:tmpl w:val="30F0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6421B"/>
    <w:multiLevelType w:val="hybridMultilevel"/>
    <w:tmpl w:val="A15C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6A4074"/>
    <w:multiLevelType w:val="hybridMultilevel"/>
    <w:tmpl w:val="A64C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01040"/>
    <w:multiLevelType w:val="hybridMultilevel"/>
    <w:tmpl w:val="462C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B6EB1"/>
    <w:rsid w:val="000140F3"/>
    <w:rsid w:val="00080758"/>
    <w:rsid w:val="00084ACC"/>
    <w:rsid w:val="000B3E59"/>
    <w:rsid w:val="000C1FA8"/>
    <w:rsid w:val="000F03AF"/>
    <w:rsid w:val="000F0EA1"/>
    <w:rsid w:val="000F2EEE"/>
    <w:rsid w:val="000F6BA6"/>
    <w:rsid w:val="00116247"/>
    <w:rsid w:val="00153225"/>
    <w:rsid w:val="001B6EB1"/>
    <w:rsid w:val="001C21D4"/>
    <w:rsid w:val="001D0D96"/>
    <w:rsid w:val="001F70DE"/>
    <w:rsid w:val="00217789"/>
    <w:rsid w:val="002219FE"/>
    <w:rsid w:val="002314A0"/>
    <w:rsid w:val="0033709D"/>
    <w:rsid w:val="00390C4F"/>
    <w:rsid w:val="003D51F9"/>
    <w:rsid w:val="004040E7"/>
    <w:rsid w:val="00447747"/>
    <w:rsid w:val="00470B43"/>
    <w:rsid w:val="004A1A79"/>
    <w:rsid w:val="004A2A7D"/>
    <w:rsid w:val="004B1905"/>
    <w:rsid w:val="005378CF"/>
    <w:rsid w:val="00544DB5"/>
    <w:rsid w:val="005555A3"/>
    <w:rsid w:val="0056682F"/>
    <w:rsid w:val="005815E2"/>
    <w:rsid w:val="005B23DD"/>
    <w:rsid w:val="005B5CA7"/>
    <w:rsid w:val="0062141F"/>
    <w:rsid w:val="0062247A"/>
    <w:rsid w:val="00634C62"/>
    <w:rsid w:val="00646EBE"/>
    <w:rsid w:val="006900E9"/>
    <w:rsid w:val="006927B7"/>
    <w:rsid w:val="006960DD"/>
    <w:rsid w:val="006F5296"/>
    <w:rsid w:val="008159D3"/>
    <w:rsid w:val="00852ACE"/>
    <w:rsid w:val="0089406B"/>
    <w:rsid w:val="008D668E"/>
    <w:rsid w:val="0093353B"/>
    <w:rsid w:val="009551EC"/>
    <w:rsid w:val="00957336"/>
    <w:rsid w:val="00960F4B"/>
    <w:rsid w:val="00986642"/>
    <w:rsid w:val="009D47BE"/>
    <w:rsid w:val="00A42C8E"/>
    <w:rsid w:val="00A44880"/>
    <w:rsid w:val="00A57933"/>
    <w:rsid w:val="00A70DF1"/>
    <w:rsid w:val="00A82E9F"/>
    <w:rsid w:val="00AA0437"/>
    <w:rsid w:val="00AF5670"/>
    <w:rsid w:val="00C10325"/>
    <w:rsid w:val="00C35E93"/>
    <w:rsid w:val="00CC0BE4"/>
    <w:rsid w:val="00D23FBA"/>
    <w:rsid w:val="00D40597"/>
    <w:rsid w:val="00D61687"/>
    <w:rsid w:val="00D862E6"/>
    <w:rsid w:val="00DB07F8"/>
    <w:rsid w:val="00E07412"/>
    <w:rsid w:val="00E255E8"/>
    <w:rsid w:val="00E731D3"/>
    <w:rsid w:val="00EB0F86"/>
    <w:rsid w:val="00F13C3B"/>
    <w:rsid w:val="00F80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0E9"/>
    <w:rPr>
      <w:rFonts w:ascii="Tahoma" w:hAnsi="Tahoma" w:cs="Tahoma"/>
      <w:sz w:val="16"/>
      <w:szCs w:val="16"/>
    </w:rPr>
  </w:style>
  <w:style w:type="paragraph" w:styleId="Caption">
    <w:name w:val="caption"/>
    <w:basedOn w:val="Normal"/>
    <w:next w:val="Normal"/>
    <w:uiPriority w:val="35"/>
    <w:unhideWhenUsed/>
    <w:qFormat/>
    <w:rsid w:val="006900E9"/>
    <w:pPr>
      <w:spacing w:line="240" w:lineRule="auto"/>
    </w:pPr>
    <w:rPr>
      <w:b/>
      <w:bCs/>
      <w:color w:val="4F81BD" w:themeColor="accent1"/>
      <w:sz w:val="18"/>
      <w:szCs w:val="18"/>
    </w:rPr>
  </w:style>
  <w:style w:type="table" w:customStyle="1" w:styleId="LightShading1">
    <w:name w:val="Light Shading1"/>
    <w:basedOn w:val="TableNormal"/>
    <w:uiPriority w:val="60"/>
    <w:rsid w:val="00634C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44880"/>
    <w:pPr>
      <w:ind w:left="720"/>
      <w:contextualSpacing/>
    </w:pPr>
  </w:style>
  <w:style w:type="table" w:styleId="TableGrid">
    <w:name w:val="Table Grid"/>
    <w:basedOn w:val="TableNormal"/>
    <w:uiPriority w:val="59"/>
    <w:rsid w:val="00337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0140F3"/>
    <w:pPr>
      <w:spacing w:after="0" w:line="280" w:lineRule="exact"/>
      <w:jc w:val="right"/>
    </w:pPr>
    <w:rPr>
      <w:rFonts w:ascii="Helvetica" w:eastAsia="Times New Roman" w:hAnsi="Helvetica" w:cs="Times New Roman"/>
      <w:b/>
      <w:sz w:val="24"/>
      <w:szCs w:val="20"/>
    </w:rPr>
  </w:style>
  <w:style w:type="paragraph" w:customStyle="1" w:styleId="Affiliation">
    <w:name w:val="Affiliation"/>
    <w:basedOn w:val="Normal"/>
    <w:rsid w:val="000140F3"/>
    <w:pPr>
      <w:spacing w:after="240" w:line="240" w:lineRule="exact"/>
      <w:jc w:val="right"/>
    </w:pPr>
    <w:rPr>
      <w:rFonts w:ascii="Helvetica" w:eastAsia="Times New Roman" w:hAnsi="Helvetica" w:cs="Times New Roman"/>
      <w:sz w:val="20"/>
      <w:szCs w:val="20"/>
    </w:rPr>
  </w:style>
  <w:style w:type="paragraph" w:customStyle="1" w:styleId="PaperNumber">
    <w:name w:val="Paper Number"/>
    <w:basedOn w:val="Normal"/>
    <w:rsid w:val="000140F3"/>
    <w:pPr>
      <w:spacing w:after="280" w:line="280" w:lineRule="exact"/>
      <w:jc w:val="right"/>
    </w:pPr>
    <w:rPr>
      <w:rFonts w:ascii="Helvetica" w:eastAsia="Times New Roman" w:hAnsi="Helvetica" w:cs="Times New Roman"/>
      <w:b/>
      <w:sz w:val="28"/>
      <w:szCs w:val="20"/>
    </w:rPr>
  </w:style>
  <w:style w:type="paragraph" w:styleId="Title">
    <w:name w:val="Title"/>
    <w:basedOn w:val="Normal"/>
    <w:link w:val="TitleChar"/>
    <w:qFormat/>
    <w:rsid w:val="000140F3"/>
    <w:pPr>
      <w:spacing w:after="360" w:line="240" w:lineRule="auto"/>
      <w:jc w:val="right"/>
    </w:pPr>
    <w:rPr>
      <w:rFonts w:ascii="Helvetica" w:eastAsia="Times New Roman" w:hAnsi="Helvetica" w:cs="Times New Roman"/>
      <w:b/>
      <w:kern w:val="28"/>
      <w:sz w:val="36"/>
      <w:szCs w:val="20"/>
    </w:rPr>
  </w:style>
  <w:style w:type="character" w:customStyle="1" w:styleId="TitleChar">
    <w:name w:val="Title Char"/>
    <w:basedOn w:val="DefaultParagraphFont"/>
    <w:link w:val="Title"/>
    <w:rsid w:val="000140F3"/>
    <w:rPr>
      <w:rFonts w:ascii="Helvetica" w:eastAsia="Times New Roman" w:hAnsi="Helvetica" w:cs="Times New Roman"/>
      <w:b/>
      <w:kern w:val="28"/>
      <w:sz w:val="36"/>
      <w:szCs w:val="20"/>
    </w:rPr>
  </w:style>
  <w:style w:type="paragraph" w:styleId="Header">
    <w:name w:val="header"/>
    <w:basedOn w:val="Normal"/>
    <w:link w:val="HeaderChar"/>
    <w:uiPriority w:val="99"/>
    <w:semiHidden/>
    <w:unhideWhenUsed/>
    <w:rsid w:val="000F0E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0EA1"/>
  </w:style>
  <w:style w:type="paragraph" w:styleId="Footer">
    <w:name w:val="footer"/>
    <w:basedOn w:val="Normal"/>
    <w:link w:val="FooterChar"/>
    <w:uiPriority w:val="99"/>
    <w:unhideWhenUsed/>
    <w:rsid w:val="000F0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EA1"/>
  </w:style>
  <w:style w:type="character" w:styleId="Hyperlink">
    <w:name w:val="Hyperlink"/>
    <w:basedOn w:val="DefaultParagraphFont"/>
    <w:uiPriority w:val="99"/>
    <w:unhideWhenUsed/>
    <w:rsid w:val="00852A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499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arbha@mtu.edu"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6FA21D-E2F0-442E-9931-9A064383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6</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22</cp:revision>
  <cp:lastPrinted>2013-11-01T14:32:00Z</cp:lastPrinted>
  <dcterms:created xsi:type="dcterms:W3CDTF">2013-10-20T03:45:00Z</dcterms:created>
  <dcterms:modified xsi:type="dcterms:W3CDTF">2013-11-02T02:43:00Z</dcterms:modified>
</cp:coreProperties>
</file>