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MIDI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Musicians Make a Standard: The MIDI Phenomenon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Gareth Loy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Computer Music Journal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Vol. 9, No. 4 (Winter, 1985), pp. 8-26</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Published by: The MIT Press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DOI: 10.2307/3679619</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Stable URL: http://www.jstor.org/stable/3679619</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Page Count: 19</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P.E. Allen and R.B. Dannenberg. Tracking musical beats in real time. In Proceedings of the International Computer Music Conference, pages 140–143, 1990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hd w:fill="d9d9d9" w:val="clear"/>
        </w:rPr>
      </w:pPr>
      <w:r w:rsidDel="00000000" w:rsidR="00000000" w:rsidRPr="00000000">
        <w:rPr>
          <w:shd w:fill="d9d9d9" w:val="clear"/>
          <w:rtl w:val="0"/>
        </w:rPr>
        <w:t xml:space="preserve">Dannenberg, Roger 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hd w:fill="d9d9d9" w:val="clear"/>
        </w:rPr>
      </w:pPr>
      <w:r w:rsidDel="00000000" w:rsidR="00000000" w:rsidRPr="00000000">
        <w:rPr>
          <w:shd w:fill="d9d9d9" w:val="clear"/>
          <w:rtl w:val="0"/>
        </w:rPr>
        <w:t xml:space="preserve">An On-Line Algorithm for Real-Time Accompaniment.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hd w:fill="d9d9d9" w:val="clear"/>
        </w:rPr>
      </w:pPr>
      <w:r w:rsidDel="00000000" w:rsidR="00000000" w:rsidRPr="00000000">
        <w:rPr>
          <w:shd w:fill="d9d9d9" w:val="clear"/>
          <w:rtl w:val="0"/>
        </w:rPr>
        <w:t xml:space="preserve">In Proceedings of the 1984 International Computer Music Conference, pages 193-198. 1984.</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hd w:fill="f3f3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M.E.P. Davies and M.D. Plumbley. Causal tempo tracking of audio. In Proceedings of the International Conference on Music Information Retrieval, pages 164–169, 2004.</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Bello J. P., Daudet L., Abdallah S., Duxbury C., Davies M. E. and Sandler M. B. “A Tutorial on Onset Detection in Music Signals”, IEEE Transactions on Speech and Audio Processing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accepted for publication, 2004</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Dixon S. “Automatic Extraction of Tempo and Beat from Expressive Performances” Journal of New Music Research, Vol 30, No. 1, March 2001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Goto M. “An Audio-based Real-time Beat Tracking System for Music With or Without Drum-sounds” Journal of New Music Research, Vol 30, No. 2, July 2001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Raphael C. “Automated Rhythm Transcription” Proceedings of International Symposium on Music Information Retrieval, pp. 99-107, 2001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Scheirer E. D. “Tempo and Beat Analysis of Acoustic Musical Signals ” Journal of the Acoustical Society of America, Vol 103, No. 1, 1998</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