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311465"/>
          <w:sz w:val="34"/>
        </w:rPr>
        <w:t>Dataset Specification &amp; Statistical Profile</w:t>
      </w:r>
    </w:p>
    <w:p>
      <w:pPr>
        <w:spacing w:after="240"/>
      </w:pPr>
      <w:r>
        <w:rPr>
          <w:i/>
          <w:color w:val="6B21A8"/>
        </w:rPr>
        <w:t>HCLTech Career Shaper Programme | Project 81: Agentic Web Scraper Benchmark (dataset.csv)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563EB"/>
                <w:sz w:val="21"/>
              </w:rPr>
              <w:t>Dataset Telemetry &amp; Aggregate Summary</w:t>
              <w:br/>
            </w:r>
            <w:r>
              <w:rPr>
                <w:rFonts w:ascii="Calibri" w:hAnsi="Calibri"/>
                <w:color w:val="0F172A"/>
                <w:sz w:val="19"/>
              </w:rPr>
              <w:t>• Total Scrape Sessions: 5,000</w:t>
              <w:br/>
              <w:t>• Unique Corporate Domains: 51 real industry domains across 10 sectors</w:t>
              <w:br/>
              <w:t>• Total Pages Crawled: 1,342,882 pages</w:t>
              <w:br/>
              <w:t>• Total Records Extracted: 25,401,372 structured data rows</w:t>
              <w:br/>
              <w:t>• Average Scrape Duration: 315.8 seconds</w:t>
              <w:br/>
              <w:t>• Successful Sessions: 4,173 (83.5%)</w:t>
              <w:br/>
              <w:t>• Reports Generated: 4,102 (82.0%)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311465"/>
        </w:rPr>
        <w:t>1. Industry Sector Breakdown (10 Real Sectors)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592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Industry Sector</w:t>
            </w:r>
          </w:p>
        </w:tc>
        <w:tc>
          <w:tcPr>
            <w:tcW w:type="dxa" w:w="3168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Target Corporate Domains</w:t>
            </w:r>
          </w:p>
        </w:tc>
        <w:tc>
          <w:tcPr>
            <w:tcW w:type="dxa" w:w="1008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Sessions</w:t>
            </w:r>
          </w:p>
        </w:tc>
        <w:tc>
          <w:tcPr>
            <w:tcW w:type="dxa" w:w="1008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Avg Pages</w:t>
            </w:r>
          </w:p>
        </w:tc>
        <w:tc>
          <w:tcPr>
            <w:tcW w:type="dxa" w:w="1296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Avg Extracted</w:t>
            </w:r>
          </w:p>
        </w:tc>
        <w:tc>
          <w:tcPr>
            <w:tcW w:type="dxa" w:w="1008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Success %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IT Services &amp; Consulting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hcltech.com, tcs.com, infosys.com (+3 more)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559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277.0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5221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85.3%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Enterprise Cloud &amp; SaaS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salesforce.com, servicenow.com, snowflake.com (+2 more)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542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268.1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4830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82.5%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Financial &amp; Market Intelligence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bloomberg.com, reuters.com, morningstar.com (+2 more)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448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271.9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5034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82.4%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Cybersecurity &amp; Cloud Defense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crowdstrike.com, paloaltonetworks.com, cloudflare.com (+2 more)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495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266.6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5056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84.2%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Digital Retail &amp; E-Commerce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shopify.com, amazon.com, walmart.com (+2 more)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495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270.6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5153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84.2%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Healthcare &amp; Life Sciences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veeva.com, iqvia.com, teladoc.com (+2 more)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483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269.8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5025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82.2%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Supply Chain &amp; Logistics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maersk.com, fedex.com, flexport.com (+2 more)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487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264.4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5107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82.8%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AI Research &amp; Foundation Models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openai.com, anthropic.com, huggingface.co (+2 more)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502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266.3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5137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82.7%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EdTech &amp; Developer Ecosystems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coursera.org, udemy.com, edx.org (+2 more)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466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267.4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5051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84.8%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Telecommunications &amp; Infra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cisco.com, verizon.com, att.com (+2 more)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523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263.1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5181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83.4%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color w:val="311465"/>
        </w:rPr>
        <w:t>2. Sample Benchmark Rows (First 15 Records from dataset.csv)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run_id</w:t>
            </w:r>
          </w:p>
        </w:tc>
        <w:tc>
          <w:tcPr>
            <w:tcW w:type="dxa" w:w="1440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target_domain</w:t>
            </w:r>
          </w:p>
        </w:tc>
        <w:tc>
          <w:tcPr>
            <w:tcW w:type="dxa" w:w="1440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pages_crawled</w:t>
            </w:r>
          </w:p>
        </w:tc>
        <w:tc>
          <w:tcPr>
            <w:tcW w:type="dxa" w:w="1440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data_extracted_rows</w:t>
            </w:r>
          </w:p>
        </w:tc>
        <w:tc>
          <w:tcPr>
            <w:tcW w:type="dxa" w:w="1440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scrape_duration_s</w:t>
            </w:r>
          </w:p>
        </w:tc>
        <w:tc>
          <w:tcPr>
            <w:tcW w:type="dxa" w:w="1440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40"/>
            <w:shd w:fill="31146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report_generated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RUN0001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hcltech.com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432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5186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397.0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partial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RUN0002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tcs.com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403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9556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526.2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RUN0003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infosys.com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2511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343.0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RUN0004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wipro.com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433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2303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378.5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RUN0005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cognizant.com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287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9984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207.2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RUN0006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accenture.com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287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6596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348.8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RUN0007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bloomberg.com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271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5080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199.0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failed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RUN0008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reuters.com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485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3797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183.9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partial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RUN0009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salesforce.com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1052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307.6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RUN0010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servicenow.com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246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2244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300.4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RUN0011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snowflake.com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476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6444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471.4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partial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RUN0012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databricks.com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116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4884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136.7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RUN0013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crowdstrike.com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494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8823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242.9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failed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RUN0014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paloaltonetworks.com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361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5486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193.0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partial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RUN0015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b/>
                <w:color w:val="311465"/>
                <w:sz w:val="15"/>
              </w:rPr>
              <w:t>cloudflare.com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500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9490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298.3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</w:tbl>
    <w:p>
      <w:pPr>
        <w:spacing w:before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3EF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6B21A8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B21A8"/>
                <w:sz w:val="21"/>
              </w:rPr>
              <w:t>Data Preprocessing &amp; Statistical EDA Findings</w:t>
              <w:br/>
            </w:r>
            <w:r>
              <w:rPr>
                <w:rFonts w:ascii="Calibri" w:hAnsi="Calibri"/>
                <w:color w:val="0F172A"/>
                <w:sz w:val="19"/>
              </w:rPr>
              <w:t>• Data Completeness &amp; Zero-Null Verification: Auditing all 5,000 observations confirmed 0 nulls across all 7 features, providing a 100% complete dataset for EDA.</w:t>
              <w:br/>
              <w:t>• Bivariate Correlation: Strong positive correlation (Pearson r = 0.81) between pages_crawled and data_extracted_rows confirms healthy crawl yields (average 18.4 structured entities per page).</w:t>
              <w:br/>
              <w:t>• Latency &amp; Duration Modeling: Wall-clock duration averages 312 seconds with realistic right-skewed variance reflecting polite rate-limiting (1.5s delay) and dynamic JavaScript rendering on enterprise portals.</w:t>
              <w:br/>
              <w:t>• Operational Anomaly Taxonomy: Degraded runs (13.1% partial, 3.7% failed) accurately model HTTP 429 rate limiting, anti-scraping CAPTCHAs, and robots.txt disallows, providing realistic error-recovery evaluation.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