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183C" w14:textId="77777777" w:rsidR="00B51063" w:rsidRPr="00B51063" w:rsidRDefault="00B51063" w:rsidP="00B51063">
      <w:pPr>
        <w:rPr>
          <w:b/>
          <w:bCs/>
        </w:rPr>
      </w:pPr>
      <w:r w:rsidRPr="00B51063">
        <w:rPr>
          <w:b/>
          <w:bCs/>
        </w:rPr>
        <w:t>1. Project Objective</w:t>
      </w:r>
    </w:p>
    <w:p w14:paraId="50C18778" w14:textId="77777777" w:rsidR="00B51063" w:rsidRPr="00B51063" w:rsidRDefault="00B51063" w:rsidP="00B51063">
      <w:pPr>
        <w:numPr>
          <w:ilvl w:val="0"/>
          <w:numId w:val="1"/>
        </w:numPr>
      </w:pPr>
      <w:r w:rsidRPr="00B51063">
        <w:t xml:space="preserve">The core purpose of this initiative was to engineer a suite of interactive Power BI business intelligence tools focused on two primary pillars: </w:t>
      </w:r>
      <w:r w:rsidRPr="00B51063">
        <w:rPr>
          <w:b/>
          <w:bCs/>
        </w:rPr>
        <w:t>Credit Card Customer Profiles</w:t>
      </w:r>
      <w:r w:rsidRPr="00B51063">
        <w:t xml:space="preserve"> and </w:t>
      </w:r>
      <w:r w:rsidRPr="00B51063">
        <w:rPr>
          <w:b/>
          <w:bCs/>
        </w:rPr>
        <w:t>Transactional Dynamics</w:t>
      </w:r>
      <w:r w:rsidRPr="00B51063">
        <w:t>.</w:t>
      </w:r>
    </w:p>
    <w:p w14:paraId="2B76DFFC" w14:textId="77777777" w:rsidR="00B51063" w:rsidRPr="00B51063" w:rsidRDefault="00B51063" w:rsidP="00B51063">
      <w:pPr>
        <w:numPr>
          <w:ilvl w:val="0"/>
          <w:numId w:val="1"/>
        </w:numPr>
      </w:pPr>
      <w:r w:rsidRPr="00B51063">
        <w:t>These dashboards serve as a strategic resource for stakeholders to decode complex demographic patterns, evaluate income-to-credit correlations, and monitor real-time spending fluctuations.</w:t>
      </w:r>
    </w:p>
    <w:p w14:paraId="0A7B94C7" w14:textId="77777777" w:rsidR="00B51063" w:rsidRPr="00B51063" w:rsidRDefault="00B51063" w:rsidP="00B51063">
      <w:pPr>
        <w:numPr>
          <w:ilvl w:val="0"/>
          <w:numId w:val="1"/>
        </w:numPr>
      </w:pPr>
      <w:r w:rsidRPr="00B51063">
        <w:t>Advanced interactivity was integrated through a series of global slicers—including Gender, Age, and Card Category—allowing users to pivot the data across different organizational needs.</w:t>
      </w:r>
    </w:p>
    <w:p w14:paraId="42073BAF" w14:textId="77777777" w:rsidR="00B51063" w:rsidRPr="00B51063" w:rsidRDefault="00B51063" w:rsidP="00B51063">
      <w:r w:rsidRPr="00B51063">
        <w:pict w14:anchorId="26824276">
          <v:rect id="_x0000_i1055" style="width:0;height:1.5pt" o:hralign="center" o:hrstd="t" o:hr="t" fillcolor="#a0a0a0" stroked="f"/>
        </w:pict>
      </w:r>
    </w:p>
    <w:p w14:paraId="2A89748E" w14:textId="77777777" w:rsidR="00B51063" w:rsidRPr="00B51063" w:rsidRDefault="00B51063" w:rsidP="00B51063">
      <w:pPr>
        <w:rPr>
          <w:b/>
          <w:bCs/>
        </w:rPr>
      </w:pPr>
      <w:r w:rsidRPr="00B51063">
        <w:rPr>
          <w:b/>
          <w:bCs/>
        </w:rPr>
        <w:t>2. Approach &amp; Methodology</w:t>
      </w:r>
    </w:p>
    <w:p w14:paraId="7649261A" w14:textId="77777777" w:rsidR="00B51063" w:rsidRPr="00B51063" w:rsidRDefault="00B51063" w:rsidP="00B51063">
      <w:r w:rsidRPr="00B51063">
        <w:t>The development lifecycle was executed through a structured data-to-insight pipeline:</w:t>
      </w:r>
    </w:p>
    <w:p w14:paraId="6F47AE53" w14:textId="77777777" w:rsidR="00B51063" w:rsidRPr="00B51063" w:rsidRDefault="00B51063" w:rsidP="00B51063">
      <w:r w:rsidRPr="00B51063">
        <w:rPr>
          <w:b/>
          <w:bCs/>
        </w:rPr>
        <w:t>Phase 1: Data Engineering &amp; Transformation</w:t>
      </w:r>
    </w:p>
    <w:p w14:paraId="2BF7A229" w14:textId="77777777" w:rsidR="00B51063" w:rsidRPr="00B51063" w:rsidRDefault="00B51063" w:rsidP="00B51063">
      <w:pPr>
        <w:numPr>
          <w:ilvl w:val="0"/>
          <w:numId w:val="2"/>
        </w:numPr>
      </w:pPr>
      <w:r w:rsidRPr="00B51063">
        <w:t>Executed the extraction of raw Customer and Transactional datasets into the Power BI ecosystem.</w:t>
      </w:r>
    </w:p>
    <w:p w14:paraId="5614CA0C" w14:textId="77777777" w:rsidR="00B51063" w:rsidRPr="00B51063" w:rsidRDefault="00B51063" w:rsidP="00B51063">
      <w:pPr>
        <w:numPr>
          <w:ilvl w:val="0"/>
          <w:numId w:val="2"/>
        </w:numPr>
      </w:pPr>
      <w:r w:rsidRPr="00B51063">
        <w:t>Leveraged Power Query to clean inconsistencies and standardize data types for reliable reporting.</w:t>
      </w:r>
    </w:p>
    <w:p w14:paraId="76980F50" w14:textId="77777777" w:rsidR="00B51063" w:rsidRPr="00B51063" w:rsidRDefault="00B51063" w:rsidP="00B51063">
      <w:pPr>
        <w:numPr>
          <w:ilvl w:val="0"/>
          <w:numId w:val="2"/>
        </w:numPr>
      </w:pPr>
      <w:r w:rsidRPr="00B51063">
        <w:t>Developed a robust DAX (Data Analysis Expressions) library to calculate high-level business logic, including:</w:t>
      </w:r>
    </w:p>
    <w:p w14:paraId="429071EA" w14:textId="77777777" w:rsidR="00B51063" w:rsidRPr="00B51063" w:rsidRDefault="00B51063" w:rsidP="00B51063">
      <w:pPr>
        <w:numPr>
          <w:ilvl w:val="1"/>
          <w:numId w:val="2"/>
        </w:numPr>
      </w:pPr>
      <w:r w:rsidRPr="00B51063">
        <w:rPr>
          <w:b/>
          <w:bCs/>
        </w:rPr>
        <w:t>Dynamic Segmentation:</w:t>
      </w:r>
      <w:r w:rsidRPr="00B51063">
        <w:t xml:space="preserve"> Custom age brackets (e.g., 36-45, 46-55) and income tiers (High, Medium, Low).</w:t>
      </w:r>
    </w:p>
    <w:p w14:paraId="3A6EEF9B" w14:textId="77777777" w:rsidR="00B51063" w:rsidRPr="00B51063" w:rsidRDefault="00B51063" w:rsidP="00B51063">
      <w:pPr>
        <w:numPr>
          <w:ilvl w:val="1"/>
          <w:numId w:val="2"/>
        </w:numPr>
      </w:pPr>
      <w:r w:rsidRPr="00B51063">
        <w:rPr>
          <w:b/>
          <w:bCs/>
        </w:rPr>
        <w:t>Calculated KPIs:</w:t>
      </w:r>
      <w:r w:rsidRPr="00B51063">
        <w:t xml:space="preserve"> Total Revenue ($45.52M$), Revenue Growth ($35\%$), and Average Utilization ($0.27$).</w:t>
      </w:r>
    </w:p>
    <w:p w14:paraId="4CEADFBB" w14:textId="77777777" w:rsidR="00B51063" w:rsidRPr="00B51063" w:rsidRDefault="00B51063" w:rsidP="00B51063">
      <w:pPr>
        <w:numPr>
          <w:ilvl w:val="0"/>
          <w:numId w:val="2"/>
        </w:numPr>
      </w:pPr>
      <w:r w:rsidRPr="00B51063">
        <w:t>Established a "one-to-many" relationship model between customer IDs and transaction logs to ensure cross-report filtering.</w:t>
      </w:r>
    </w:p>
    <w:p w14:paraId="6995DB47" w14:textId="77777777" w:rsidR="00B51063" w:rsidRPr="00B51063" w:rsidRDefault="00B51063" w:rsidP="00B51063">
      <w:r w:rsidRPr="00B51063">
        <w:rPr>
          <w:b/>
          <w:bCs/>
        </w:rPr>
        <w:t>Phase 2: UI/UX Dashboard Design</w:t>
      </w:r>
    </w:p>
    <w:p w14:paraId="350A2489" w14:textId="77777777" w:rsidR="00B51063" w:rsidRPr="00B51063" w:rsidRDefault="00B51063" w:rsidP="00B51063">
      <w:pPr>
        <w:numPr>
          <w:ilvl w:val="0"/>
          <w:numId w:val="3"/>
        </w:numPr>
      </w:pPr>
      <w:r w:rsidRPr="00B51063">
        <w:rPr>
          <w:b/>
          <w:bCs/>
        </w:rPr>
        <w:t>Customer Analysis View:</w:t>
      </w:r>
      <w:r w:rsidRPr="00B51063">
        <w:t xml:space="preserve"> Prioritized demographic density, educational attainment, and credit limit benchmarking.</w:t>
      </w:r>
    </w:p>
    <w:p w14:paraId="61286B44" w14:textId="77777777" w:rsidR="00B51063" w:rsidRPr="00B51063" w:rsidRDefault="00B51063" w:rsidP="00B51063">
      <w:pPr>
        <w:numPr>
          <w:ilvl w:val="0"/>
          <w:numId w:val="3"/>
        </w:numPr>
      </w:pPr>
      <w:r w:rsidRPr="00B51063">
        <w:rPr>
          <w:b/>
          <w:bCs/>
        </w:rPr>
        <w:t>Transaction Analysis View:</w:t>
      </w:r>
      <w:r w:rsidRPr="00B51063">
        <w:t xml:space="preserve"> Focused on revenue velocity, preferred payment channels (Swipe, Chip, Online), and merchant category spending.</w:t>
      </w:r>
    </w:p>
    <w:p w14:paraId="66A80530" w14:textId="77777777" w:rsidR="00B51063" w:rsidRPr="00B51063" w:rsidRDefault="00B51063" w:rsidP="00B51063">
      <w:pPr>
        <w:numPr>
          <w:ilvl w:val="0"/>
          <w:numId w:val="3"/>
        </w:numPr>
      </w:pPr>
      <w:r w:rsidRPr="00B51063">
        <w:t>Implemented a cohesive visual identity using teal and slate palettes to ensure readability across all chart types.</w:t>
      </w:r>
    </w:p>
    <w:p w14:paraId="56DBFB72" w14:textId="77777777" w:rsidR="00B51063" w:rsidRPr="00B51063" w:rsidRDefault="00B51063" w:rsidP="00B51063">
      <w:r w:rsidRPr="00B51063">
        <w:pict w14:anchorId="6E3C7956">
          <v:rect id="_x0000_i1056" style="width:0;height:1.5pt" o:hralign="center" o:hrstd="t" o:hr="t" fillcolor="#a0a0a0" stroked="f"/>
        </w:pict>
      </w:r>
    </w:p>
    <w:p w14:paraId="504A2BAA" w14:textId="77777777" w:rsidR="00B51063" w:rsidRPr="00B51063" w:rsidRDefault="00B51063" w:rsidP="00B51063">
      <w:pPr>
        <w:rPr>
          <w:b/>
          <w:bCs/>
        </w:rPr>
      </w:pPr>
      <w:r w:rsidRPr="00B51063">
        <w:rPr>
          <w:b/>
          <w:bCs/>
        </w:rPr>
        <w:t>3. Executive Insights</w:t>
      </w:r>
    </w:p>
    <w:p w14:paraId="4879FE23" w14:textId="77777777" w:rsidR="00B51063" w:rsidRPr="00B51063" w:rsidRDefault="00B51063" w:rsidP="00B51063">
      <w:r w:rsidRPr="00B51063">
        <w:rPr>
          <w:b/>
          <w:bCs/>
        </w:rPr>
        <w:t>Customer Demographics &amp; Profile</w:t>
      </w:r>
    </w:p>
    <w:p w14:paraId="0B175557" w14:textId="77777777" w:rsidR="00B51063" w:rsidRPr="00B51063" w:rsidRDefault="00B51063" w:rsidP="00B51063">
      <w:pPr>
        <w:numPr>
          <w:ilvl w:val="0"/>
          <w:numId w:val="4"/>
        </w:numPr>
      </w:pPr>
      <w:r w:rsidRPr="00B51063">
        <w:rPr>
          <w:b/>
          <w:bCs/>
        </w:rPr>
        <w:lastRenderedPageBreak/>
        <w:t>Age Dominance:</w:t>
      </w:r>
      <w:r w:rsidRPr="00B51063">
        <w:t xml:space="preserve"> The 46–55 age group represents the most significant customer volume with $4,171$ individuals.</w:t>
      </w:r>
    </w:p>
    <w:p w14:paraId="1931AF2B" w14:textId="77777777" w:rsidR="00B51063" w:rsidRPr="00B51063" w:rsidRDefault="00B51063" w:rsidP="00B51063">
      <w:pPr>
        <w:numPr>
          <w:ilvl w:val="0"/>
          <w:numId w:val="4"/>
        </w:numPr>
      </w:pPr>
      <w:r w:rsidRPr="00B51063">
        <w:rPr>
          <w:b/>
          <w:bCs/>
        </w:rPr>
        <w:t>Gender Split:</w:t>
      </w:r>
      <w:r w:rsidRPr="00B51063">
        <w:t xml:space="preserve"> The portfolio is predominantly female-driven, accounting for $58\%$ of the total customer base.</w:t>
      </w:r>
    </w:p>
    <w:p w14:paraId="2219BFD1" w14:textId="77777777" w:rsidR="00B51063" w:rsidRPr="00B51063" w:rsidRDefault="00B51063" w:rsidP="00B51063">
      <w:pPr>
        <w:numPr>
          <w:ilvl w:val="0"/>
          <w:numId w:val="4"/>
        </w:numPr>
      </w:pPr>
      <w:r w:rsidRPr="00B51063">
        <w:rPr>
          <w:b/>
          <w:bCs/>
        </w:rPr>
        <w:t>Income-Limit Correlation:</w:t>
      </w:r>
      <w:r w:rsidRPr="00B51063">
        <w:t xml:space="preserve"> High-income earners command the highest credit availability, averaging a limit of $14.3K$.</w:t>
      </w:r>
    </w:p>
    <w:p w14:paraId="50E07B6F" w14:textId="77777777" w:rsidR="00B51063" w:rsidRPr="00B51063" w:rsidRDefault="00B51063" w:rsidP="00B51063">
      <w:pPr>
        <w:numPr>
          <w:ilvl w:val="0"/>
          <w:numId w:val="4"/>
        </w:numPr>
      </w:pPr>
      <w:r w:rsidRPr="00B51063">
        <w:rPr>
          <w:b/>
          <w:bCs/>
        </w:rPr>
        <w:t>Top Profession:</w:t>
      </w:r>
      <w:r w:rsidRPr="00B51063">
        <w:t xml:space="preserve"> Business owners are the highest average earners, followed by white-collar professionals.</w:t>
      </w:r>
    </w:p>
    <w:p w14:paraId="4EEC283E" w14:textId="77777777" w:rsidR="00B51063" w:rsidRPr="00B51063" w:rsidRDefault="00B51063" w:rsidP="00B51063">
      <w:r w:rsidRPr="00B51063">
        <w:rPr>
          <w:b/>
          <w:bCs/>
        </w:rPr>
        <w:t>Transaction &amp; Revenue Performance</w:t>
      </w:r>
    </w:p>
    <w:p w14:paraId="54D0A0F9" w14:textId="77777777" w:rsidR="00B51063" w:rsidRPr="00B51063" w:rsidRDefault="00B51063" w:rsidP="00B51063">
      <w:pPr>
        <w:numPr>
          <w:ilvl w:val="0"/>
          <w:numId w:val="5"/>
        </w:numPr>
      </w:pPr>
      <w:r w:rsidRPr="00B51063">
        <w:rPr>
          <w:b/>
          <w:bCs/>
        </w:rPr>
        <w:t>Growth Momentum:</w:t>
      </w:r>
      <w:r w:rsidRPr="00B51063">
        <w:t xml:space="preserve"> The portfolio achieved a significant $35\%$ growth rate, </w:t>
      </w:r>
      <w:proofErr w:type="spellStart"/>
      <w:r w:rsidRPr="00B51063">
        <w:t>totaling</w:t>
      </w:r>
      <w:proofErr w:type="spellEnd"/>
      <w:r w:rsidRPr="00B51063">
        <w:t xml:space="preserve"> $45.52M$ in revenue.</w:t>
      </w:r>
    </w:p>
    <w:p w14:paraId="62BC511D" w14:textId="77777777" w:rsidR="00B51063" w:rsidRPr="00B51063" w:rsidRDefault="00B51063" w:rsidP="00B51063">
      <w:pPr>
        <w:numPr>
          <w:ilvl w:val="0"/>
          <w:numId w:val="5"/>
        </w:numPr>
      </w:pPr>
      <w:r w:rsidRPr="00B51063">
        <w:rPr>
          <w:b/>
          <w:bCs/>
        </w:rPr>
        <w:t>Top Spend Categories:</w:t>
      </w:r>
      <w:r w:rsidRPr="00B51063">
        <w:t xml:space="preserve"> Household "Bills" are the primary revenue driver, followed closely by "Entertainment" and "Fuel" expenses.</w:t>
      </w:r>
    </w:p>
    <w:p w14:paraId="6D80AB83" w14:textId="77777777" w:rsidR="00B51063" w:rsidRPr="00B51063" w:rsidRDefault="00B51063" w:rsidP="00B51063">
      <w:pPr>
        <w:numPr>
          <w:ilvl w:val="0"/>
          <w:numId w:val="5"/>
        </w:numPr>
      </w:pPr>
      <w:r w:rsidRPr="00B51063">
        <w:rPr>
          <w:b/>
          <w:bCs/>
        </w:rPr>
        <w:t>Tier Performance:</w:t>
      </w:r>
      <w:r w:rsidRPr="00B51063">
        <w:t xml:space="preserve"> The "Blue Card" remains the flagship product, generating the lion's share of transaction volume ($38M$).</w:t>
      </w:r>
    </w:p>
    <w:p w14:paraId="7C40A298" w14:textId="77777777" w:rsidR="00B51063" w:rsidRPr="00B51063" w:rsidRDefault="00B51063" w:rsidP="00B51063">
      <w:pPr>
        <w:numPr>
          <w:ilvl w:val="0"/>
          <w:numId w:val="5"/>
        </w:numPr>
      </w:pPr>
      <w:r w:rsidRPr="00B51063">
        <w:rPr>
          <w:b/>
          <w:bCs/>
        </w:rPr>
        <w:t>Payment Trends:</w:t>
      </w:r>
      <w:r w:rsidRPr="00B51063">
        <w:t xml:space="preserve"> Traditional "Swipe" transactions lead the market at $66.94\%$, while "Online" transactions hold a solid $27.09\%$ share.</w:t>
      </w:r>
    </w:p>
    <w:p w14:paraId="56AA9189" w14:textId="77777777" w:rsidR="00B51063" w:rsidRPr="00B51063" w:rsidRDefault="00B51063" w:rsidP="00B51063">
      <w:r w:rsidRPr="00B51063">
        <w:pict w14:anchorId="2107DB98">
          <v:rect id="_x0000_i1057" style="width:0;height:1.5pt" o:hralign="center" o:hrstd="t" o:hr="t" fillcolor="#a0a0a0" stroked="f"/>
        </w:pict>
      </w:r>
    </w:p>
    <w:p w14:paraId="689E1965" w14:textId="77777777" w:rsidR="00B51063" w:rsidRPr="00B51063" w:rsidRDefault="00B51063" w:rsidP="00B51063">
      <w:pPr>
        <w:rPr>
          <w:b/>
          <w:bCs/>
        </w:rPr>
      </w:pPr>
      <w:r w:rsidRPr="00B51063">
        <w:rPr>
          <w:b/>
          <w:bCs/>
        </w:rPr>
        <w:t>4. Technical Challenges &amp; Solutions</w:t>
      </w:r>
    </w:p>
    <w:p w14:paraId="144135B9" w14:textId="77777777" w:rsidR="00B51063" w:rsidRPr="00B51063" w:rsidRDefault="00B51063" w:rsidP="00B51063">
      <w:pPr>
        <w:numPr>
          <w:ilvl w:val="0"/>
          <w:numId w:val="6"/>
        </w:numPr>
      </w:pPr>
      <w:r w:rsidRPr="00B51063">
        <w:rPr>
          <w:b/>
          <w:bCs/>
        </w:rPr>
        <w:t>Complex Data Imputation:</w:t>
      </w:r>
      <w:r w:rsidRPr="00B51063">
        <w:t xml:space="preserve"> Addressed missing values in demographic fields through logical filtering to maintain the integrity of the total customer count ($10.29K$).</w:t>
      </w:r>
    </w:p>
    <w:p w14:paraId="24B6C19E" w14:textId="77777777" w:rsidR="00B51063" w:rsidRPr="00B51063" w:rsidRDefault="00B51063" w:rsidP="00B51063">
      <w:pPr>
        <w:numPr>
          <w:ilvl w:val="0"/>
          <w:numId w:val="6"/>
        </w:numPr>
      </w:pPr>
      <w:r w:rsidRPr="00B51063">
        <w:rPr>
          <w:b/>
          <w:bCs/>
        </w:rPr>
        <w:t xml:space="preserve">Time-Intelligence </w:t>
      </w:r>
      <w:proofErr w:type="spellStart"/>
      <w:r w:rsidRPr="00B51063">
        <w:rPr>
          <w:b/>
          <w:bCs/>
        </w:rPr>
        <w:t>Modeling</w:t>
      </w:r>
      <w:proofErr w:type="spellEnd"/>
      <w:r w:rsidRPr="00B51063">
        <w:rPr>
          <w:b/>
          <w:bCs/>
        </w:rPr>
        <w:t>:</w:t>
      </w:r>
      <w:r w:rsidRPr="00B51063">
        <w:t xml:space="preserve"> Developed DAX measures to handle monthly revenue volatility, identifying key peaks in May ($5.17M$) and December ($5.30M$).</w:t>
      </w:r>
    </w:p>
    <w:p w14:paraId="122E81D9" w14:textId="77777777" w:rsidR="00B51063" w:rsidRPr="00B51063" w:rsidRDefault="00B51063" w:rsidP="00B51063">
      <w:pPr>
        <w:numPr>
          <w:ilvl w:val="0"/>
          <w:numId w:val="6"/>
        </w:numPr>
      </w:pPr>
      <w:r w:rsidRPr="00B51063">
        <w:rPr>
          <w:b/>
          <w:bCs/>
        </w:rPr>
        <w:t>Visual Hierarchy:</w:t>
      </w:r>
      <w:r w:rsidRPr="00B51063">
        <w:t xml:space="preserve"> Optimized the layout of "Card" visuals to display five critical KPIs at a glance without cluttering the user interface.</w:t>
      </w:r>
    </w:p>
    <w:p w14:paraId="1D382532" w14:textId="77777777" w:rsidR="00B51063" w:rsidRPr="00B51063" w:rsidRDefault="00B51063" w:rsidP="00B51063">
      <w:r w:rsidRPr="00B51063">
        <w:pict w14:anchorId="458019BB">
          <v:rect id="_x0000_i1058" style="width:0;height:1.5pt" o:hralign="center" o:hrstd="t" o:hr="t" fillcolor="#a0a0a0" stroked="f"/>
        </w:pict>
      </w:r>
    </w:p>
    <w:p w14:paraId="0DF7ADF5" w14:textId="77777777" w:rsidR="00B51063" w:rsidRPr="00B51063" w:rsidRDefault="00B51063" w:rsidP="00B51063">
      <w:pPr>
        <w:rPr>
          <w:b/>
          <w:bCs/>
        </w:rPr>
      </w:pPr>
      <w:r w:rsidRPr="00B51063">
        <w:rPr>
          <w:b/>
          <w:bCs/>
        </w:rPr>
        <w:t>5. Tools &amp; Technologies</w:t>
      </w:r>
    </w:p>
    <w:p w14:paraId="71D94BB8" w14:textId="77777777" w:rsidR="00B51063" w:rsidRPr="00B51063" w:rsidRDefault="00B51063" w:rsidP="00B51063">
      <w:pPr>
        <w:numPr>
          <w:ilvl w:val="0"/>
          <w:numId w:val="7"/>
        </w:numPr>
      </w:pPr>
      <w:r w:rsidRPr="00B51063">
        <w:rPr>
          <w:b/>
          <w:bCs/>
        </w:rPr>
        <w:t>Analytical Engine:</w:t>
      </w:r>
      <w:r w:rsidRPr="00B51063">
        <w:t xml:space="preserve"> Power BI Desktop.</w:t>
      </w:r>
    </w:p>
    <w:p w14:paraId="383AC921" w14:textId="77777777" w:rsidR="00B51063" w:rsidRPr="00B51063" w:rsidRDefault="00B51063" w:rsidP="00B51063">
      <w:pPr>
        <w:numPr>
          <w:ilvl w:val="0"/>
          <w:numId w:val="7"/>
        </w:numPr>
      </w:pPr>
      <w:r w:rsidRPr="00B51063">
        <w:rPr>
          <w:b/>
          <w:bCs/>
        </w:rPr>
        <w:t>Data Processing:</w:t>
      </w:r>
      <w:r w:rsidRPr="00B51063">
        <w:t xml:space="preserve"> Power Query for ETL (Extract, Transform, Load).</w:t>
      </w:r>
    </w:p>
    <w:p w14:paraId="4242D76C" w14:textId="77777777" w:rsidR="00B51063" w:rsidRPr="00B51063" w:rsidRDefault="00B51063" w:rsidP="00B51063">
      <w:pPr>
        <w:numPr>
          <w:ilvl w:val="0"/>
          <w:numId w:val="7"/>
        </w:numPr>
      </w:pPr>
      <w:r w:rsidRPr="00B51063">
        <w:rPr>
          <w:b/>
          <w:bCs/>
        </w:rPr>
        <w:t>Calculation Language:</w:t>
      </w:r>
      <w:r w:rsidRPr="00B51063">
        <w:t xml:space="preserve"> DAX for advanced measures and calculated columns.</w:t>
      </w:r>
    </w:p>
    <w:p w14:paraId="194F1B4F" w14:textId="77777777" w:rsidR="00B51063" w:rsidRPr="00B51063" w:rsidRDefault="00B51063" w:rsidP="00B51063">
      <w:pPr>
        <w:numPr>
          <w:ilvl w:val="0"/>
          <w:numId w:val="7"/>
        </w:numPr>
      </w:pPr>
      <w:r w:rsidRPr="00B51063">
        <w:rPr>
          <w:b/>
          <w:bCs/>
        </w:rPr>
        <w:t>Visual Library:</w:t>
      </w:r>
      <w:r w:rsidRPr="00B51063">
        <w:t xml:space="preserve"> Donut charts for gender/method splits, Gauge charts for utilization, and Line charts for revenue trends.</w:t>
      </w:r>
    </w:p>
    <w:p w14:paraId="0AD76DB5" w14:textId="77777777" w:rsidR="00B51063" w:rsidRPr="00B51063" w:rsidRDefault="00B51063" w:rsidP="00B51063">
      <w:r w:rsidRPr="00B51063">
        <w:pict w14:anchorId="5E67E7A9">
          <v:rect id="_x0000_i1059" style="width:0;height:1.5pt" o:hralign="center" o:hrstd="t" o:hr="t" fillcolor="#a0a0a0" stroked="f"/>
        </w:pict>
      </w:r>
    </w:p>
    <w:p w14:paraId="05988197" w14:textId="77777777" w:rsidR="00B51063" w:rsidRPr="00B51063" w:rsidRDefault="00B51063" w:rsidP="00B51063">
      <w:pPr>
        <w:rPr>
          <w:b/>
          <w:bCs/>
        </w:rPr>
      </w:pPr>
      <w:r w:rsidRPr="00B51063">
        <w:rPr>
          <w:b/>
          <w:bCs/>
        </w:rPr>
        <w:t>6. Strategic Conclusion</w:t>
      </w:r>
    </w:p>
    <w:p w14:paraId="46B0203F" w14:textId="77777777" w:rsidR="00B51063" w:rsidRPr="00B51063" w:rsidRDefault="00B51063" w:rsidP="00B51063">
      <w:r w:rsidRPr="00B51063">
        <w:t>The project has successfully converted fragmented raw data into a cohesive visual narrative. By utilizing these dashboards, the business can now:</w:t>
      </w:r>
    </w:p>
    <w:p w14:paraId="6DD1F909" w14:textId="77777777" w:rsidR="00B51063" w:rsidRPr="00B51063" w:rsidRDefault="00B51063" w:rsidP="00B51063">
      <w:pPr>
        <w:numPr>
          <w:ilvl w:val="0"/>
          <w:numId w:val="8"/>
        </w:numPr>
      </w:pPr>
      <w:r w:rsidRPr="00B51063">
        <w:rPr>
          <w:b/>
          <w:bCs/>
        </w:rPr>
        <w:lastRenderedPageBreak/>
        <w:t>Pinpoint High-Value Segments:</w:t>
      </w:r>
      <w:r w:rsidRPr="00B51063">
        <w:t xml:space="preserve"> Target marketing efforts toward the 36–55 age demographic and business-owner segments.</w:t>
      </w:r>
    </w:p>
    <w:p w14:paraId="2B4BBA8B" w14:textId="77777777" w:rsidR="00B51063" w:rsidRPr="00B51063" w:rsidRDefault="00B51063" w:rsidP="00B51063">
      <w:pPr>
        <w:numPr>
          <w:ilvl w:val="0"/>
          <w:numId w:val="8"/>
        </w:numPr>
      </w:pPr>
      <w:r w:rsidRPr="00B51063">
        <w:rPr>
          <w:b/>
          <w:bCs/>
        </w:rPr>
        <w:t>Monitor Channel Shifts:</w:t>
      </w:r>
      <w:r w:rsidRPr="00B51063">
        <w:t xml:space="preserve"> Track the transition from physical swipe to online payment methods.</w:t>
      </w:r>
    </w:p>
    <w:p w14:paraId="13402C1C" w14:textId="77777777" w:rsidR="00B51063" w:rsidRPr="00B51063" w:rsidRDefault="00B51063" w:rsidP="00B51063">
      <w:pPr>
        <w:numPr>
          <w:ilvl w:val="0"/>
          <w:numId w:val="8"/>
        </w:numPr>
      </w:pPr>
      <w:r w:rsidRPr="00B51063">
        <w:rPr>
          <w:b/>
          <w:bCs/>
        </w:rPr>
        <w:t>Optimize Credit Policy:</w:t>
      </w:r>
      <w:r w:rsidRPr="00B51063">
        <w:t xml:space="preserve"> Use the 0.27 utilization ratio to identify customers eligible for credit limit increases or tier upgrades.</w:t>
      </w:r>
    </w:p>
    <w:p w14:paraId="07D82E9B" w14:textId="77777777" w:rsidR="008F4BB0" w:rsidRDefault="008F4BB0"/>
    <w:sectPr w:rsidR="008F4BB0" w:rsidSect="00612641"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D4A"/>
    <w:multiLevelType w:val="multilevel"/>
    <w:tmpl w:val="205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674F"/>
    <w:multiLevelType w:val="multilevel"/>
    <w:tmpl w:val="0DE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FA0"/>
    <w:multiLevelType w:val="multilevel"/>
    <w:tmpl w:val="36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40CA"/>
    <w:multiLevelType w:val="multilevel"/>
    <w:tmpl w:val="794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7A0C"/>
    <w:multiLevelType w:val="multilevel"/>
    <w:tmpl w:val="F75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94C4A"/>
    <w:multiLevelType w:val="multilevel"/>
    <w:tmpl w:val="EB0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73592"/>
    <w:multiLevelType w:val="multilevel"/>
    <w:tmpl w:val="A8B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D0FDF"/>
    <w:multiLevelType w:val="multilevel"/>
    <w:tmpl w:val="19C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88649">
    <w:abstractNumId w:val="7"/>
  </w:num>
  <w:num w:numId="2" w16cid:durableId="809438540">
    <w:abstractNumId w:val="1"/>
  </w:num>
  <w:num w:numId="3" w16cid:durableId="907884114">
    <w:abstractNumId w:val="6"/>
  </w:num>
  <w:num w:numId="4" w16cid:durableId="447816005">
    <w:abstractNumId w:val="3"/>
  </w:num>
  <w:num w:numId="5" w16cid:durableId="1786725792">
    <w:abstractNumId w:val="2"/>
  </w:num>
  <w:num w:numId="6" w16cid:durableId="473106622">
    <w:abstractNumId w:val="5"/>
  </w:num>
  <w:num w:numId="7" w16cid:durableId="1345282081">
    <w:abstractNumId w:val="4"/>
  </w:num>
  <w:num w:numId="8" w16cid:durableId="121762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63"/>
    <w:rsid w:val="004B125E"/>
    <w:rsid w:val="00612641"/>
    <w:rsid w:val="008F4BB0"/>
    <w:rsid w:val="00B51063"/>
    <w:rsid w:val="00B73638"/>
    <w:rsid w:val="00C00ED4"/>
    <w:rsid w:val="00F4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6322"/>
  <w15:chartTrackingRefBased/>
  <w15:docId w15:val="{6F73E91D-77A0-4DED-85E6-7F9CF87C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aadarsh1kumar12345@outlook.com</dc:creator>
  <cp:keywords/>
  <dc:description/>
  <cp:lastModifiedBy>aadarsh1kumar12345@outlook.com</cp:lastModifiedBy>
  <cp:revision>1</cp:revision>
  <dcterms:created xsi:type="dcterms:W3CDTF">2025-12-23T08:48:00Z</dcterms:created>
  <dcterms:modified xsi:type="dcterms:W3CDTF">2025-12-23T08:50:00Z</dcterms:modified>
</cp:coreProperties>
</file>