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F732" w14:textId="77777777" w:rsidR="00B65B21" w:rsidRPr="00B65B21" w:rsidRDefault="00B65B21" w:rsidP="00B65B21">
      <w:pPr>
        <w:rPr>
          <w:b/>
          <w:bCs/>
        </w:rPr>
      </w:pPr>
      <w:r w:rsidRPr="00B65B21">
        <w:rPr>
          <w:b/>
          <w:bCs/>
        </w:rPr>
        <w:t>1. Overview</w:t>
      </w:r>
    </w:p>
    <w:p w14:paraId="5E4DF6C1" w14:textId="77777777" w:rsidR="00B65B21" w:rsidRPr="00B65B21" w:rsidRDefault="00B65B21" w:rsidP="00B65B21">
      <w:pPr>
        <w:numPr>
          <w:ilvl w:val="0"/>
          <w:numId w:val="1"/>
        </w:numPr>
      </w:pPr>
      <w:r w:rsidRPr="00B65B21">
        <w:t>The Financial Performance Dashboard provides a consolidated view of the company’s financial health across revenue, profitability, cash flow, and working capital efficiency.</w:t>
      </w:r>
    </w:p>
    <w:p w14:paraId="70002FCA" w14:textId="77777777" w:rsidR="00B65B21" w:rsidRPr="00B65B21" w:rsidRDefault="00B65B21" w:rsidP="00B65B21">
      <w:pPr>
        <w:numPr>
          <w:ilvl w:val="0"/>
          <w:numId w:val="1"/>
        </w:numPr>
      </w:pPr>
      <w:r w:rsidRPr="00B65B21">
        <w:t>It presents monthly data segmented by region and product/service, enabling stakeholders to track financial progress, compare actuals against budgets, and identify improvement areas.</w:t>
      </w:r>
    </w:p>
    <w:p w14:paraId="523644E1" w14:textId="77777777" w:rsidR="00B65B21" w:rsidRPr="00B65B21" w:rsidRDefault="00B65B21" w:rsidP="00B65B21">
      <w:pPr>
        <w:rPr>
          <w:b/>
          <w:bCs/>
        </w:rPr>
      </w:pPr>
      <w:r w:rsidRPr="00B65B21">
        <w:rPr>
          <w:b/>
          <w:bCs/>
        </w:rPr>
        <w:t>2. Key Highlights</w:t>
      </w:r>
    </w:p>
    <w:p w14:paraId="06FD462E" w14:textId="77777777" w:rsidR="00B65B21" w:rsidRPr="00B65B21" w:rsidRDefault="00B65B21" w:rsidP="00B65B21">
      <w:pPr>
        <w:rPr>
          <w:b/>
          <w:bCs/>
        </w:rPr>
      </w:pPr>
      <w:r w:rsidRPr="00B65B21">
        <w:rPr>
          <w:b/>
          <w:bCs/>
        </w:rPr>
        <w:t>Revenue Performance</w:t>
      </w:r>
    </w:p>
    <w:p w14:paraId="3D7A0F67" w14:textId="77777777" w:rsidR="00B65B21" w:rsidRPr="00B65B21" w:rsidRDefault="00B65B21" w:rsidP="00B65B21">
      <w:pPr>
        <w:numPr>
          <w:ilvl w:val="0"/>
          <w:numId w:val="2"/>
        </w:numPr>
      </w:pPr>
      <w:r w:rsidRPr="00B65B21">
        <w:rPr>
          <w:b/>
          <w:bCs/>
        </w:rPr>
        <w:t>Total Revenue:</w:t>
      </w:r>
      <w:r w:rsidRPr="00B65B21">
        <w:t xml:space="preserve"> 24M.</w:t>
      </w:r>
    </w:p>
    <w:p w14:paraId="0EADC135" w14:textId="77777777" w:rsidR="00B65B21" w:rsidRPr="00B65B21" w:rsidRDefault="00B65B21" w:rsidP="00B65B21">
      <w:pPr>
        <w:numPr>
          <w:ilvl w:val="0"/>
          <w:numId w:val="2"/>
        </w:numPr>
      </w:pPr>
      <w:r w:rsidRPr="00B65B21">
        <w:rPr>
          <w:b/>
          <w:bCs/>
        </w:rPr>
        <w:t>Month-over-Month Growth:</w:t>
      </w:r>
      <w:r w:rsidRPr="00B65B21">
        <w:t xml:space="preserve"> 4.18%.</w:t>
      </w:r>
    </w:p>
    <w:p w14:paraId="3AD9B91D" w14:textId="77777777" w:rsidR="00B65B21" w:rsidRPr="00B65B21" w:rsidRDefault="00B65B21" w:rsidP="00B65B21">
      <w:pPr>
        <w:numPr>
          <w:ilvl w:val="0"/>
          <w:numId w:val="2"/>
        </w:numPr>
      </w:pPr>
      <w:r w:rsidRPr="00B65B21">
        <w:rPr>
          <w:b/>
          <w:bCs/>
        </w:rPr>
        <w:t>Insight:</w:t>
      </w:r>
      <w:r w:rsidRPr="00B65B21">
        <w:t xml:space="preserve"> Revenue shows consistent stability throughout the year, with a peak in November at 2.10M. While performance is steady, it consistently trails the monthly Revenue Budget of approximately 2.6M.</w:t>
      </w:r>
    </w:p>
    <w:p w14:paraId="4D9F637A" w14:textId="77777777" w:rsidR="00B65B21" w:rsidRPr="00B65B21" w:rsidRDefault="00B65B21" w:rsidP="00B65B21">
      <w:pPr>
        <w:rPr>
          <w:b/>
          <w:bCs/>
        </w:rPr>
      </w:pPr>
      <w:r w:rsidRPr="00B65B21">
        <w:rPr>
          <w:b/>
          <w:bCs/>
        </w:rPr>
        <w:t>Profitability Analysis</w:t>
      </w:r>
    </w:p>
    <w:p w14:paraId="76B82645" w14:textId="77777777" w:rsidR="00B65B21" w:rsidRPr="00B65B21" w:rsidRDefault="00B65B21" w:rsidP="00B65B21">
      <w:pPr>
        <w:numPr>
          <w:ilvl w:val="0"/>
          <w:numId w:val="3"/>
        </w:numPr>
      </w:pPr>
      <w:r w:rsidRPr="00B65B21">
        <w:rPr>
          <w:b/>
          <w:bCs/>
        </w:rPr>
        <w:t>Gross Margin %:</w:t>
      </w:r>
      <w:r w:rsidRPr="00B65B21">
        <w:t xml:space="preserve"> 45.55%.</w:t>
      </w:r>
    </w:p>
    <w:p w14:paraId="11A114F0" w14:textId="77777777" w:rsidR="00B65B21" w:rsidRPr="00B65B21" w:rsidRDefault="00B65B21" w:rsidP="00B65B21">
      <w:pPr>
        <w:numPr>
          <w:ilvl w:val="0"/>
          <w:numId w:val="3"/>
        </w:numPr>
      </w:pPr>
      <w:r w:rsidRPr="00B65B21">
        <w:rPr>
          <w:b/>
          <w:bCs/>
        </w:rPr>
        <w:t>EBITDA Percentage:</w:t>
      </w:r>
      <w:r w:rsidRPr="00B65B21">
        <w:t xml:space="preserve"> 24.81%.</w:t>
      </w:r>
    </w:p>
    <w:p w14:paraId="6BACF601" w14:textId="77777777" w:rsidR="00B65B21" w:rsidRPr="00B65B21" w:rsidRDefault="00B65B21" w:rsidP="00B65B21">
      <w:pPr>
        <w:numPr>
          <w:ilvl w:val="0"/>
          <w:numId w:val="3"/>
        </w:numPr>
      </w:pPr>
      <w:r w:rsidRPr="00B65B21">
        <w:rPr>
          <w:b/>
          <w:bCs/>
        </w:rPr>
        <w:t>Insight:</w:t>
      </w:r>
      <w:r w:rsidRPr="00B65B21">
        <w:t xml:space="preserve"> The organization maintains a healthy gross margin. Gross Profit reached its highest point in September at 0.97M. The gap between Gross Profit and EBITDA represents consistent Operating Expenses (</w:t>
      </w:r>
      <w:proofErr w:type="spellStart"/>
      <w:r w:rsidRPr="00B65B21">
        <w:t>Opex</w:t>
      </w:r>
      <w:proofErr w:type="spellEnd"/>
      <w:r w:rsidRPr="00B65B21">
        <w:t>) across all months.</w:t>
      </w:r>
    </w:p>
    <w:p w14:paraId="656674C1" w14:textId="77777777" w:rsidR="00B65B21" w:rsidRPr="00B65B21" w:rsidRDefault="00B65B21" w:rsidP="00B65B21">
      <w:pPr>
        <w:rPr>
          <w:b/>
          <w:bCs/>
        </w:rPr>
      </w:pPr>
      <w:r w:rsidRPr="00B65B21">
        <w:rPr>
          <w:b/>
          <w:bCs/>
        </w:rPr>
        <w:t>Budget vs Actual Analysis</w:t>
      </w:r>
    </w:p>
    <w:p w14:paraId="2699FBA3" w14:textId="77777777" w:rsidR="00B65B21" w:rsidRPr="00B65B21" w:rsidRDefault="00B65B21" w:rsidP="00B65B21">
      <w:pPr>
        <w:numPr>
          <w:ilvl w:val="0"/>
          <w:numId w:val="4"/>
        </w:numPr>
      </w:pPr>
      <w:r w:rsidRPr="00B65B21">
        <w:rPr>
          <w:b/>
          <w:bCs/>
        </w:rPr>
        <w:t>Insight:</w:t>
      </w:r>
      <w:r w:rsidRPr="00B65B21">
        <w:t xml:space="preserve"> There is a notable gap between Total Revenue (blue line) and Revenue Budget (dark blue line). While the budget is set near 2.5M–2.7M monthly, actual revenue fluctuates between 1.77M and 2.10M, indicating a need to align sales targets with market reality.</w:t>
      </w:r>
    </w:p>
    <w:p w14:paraId="7C5768CA" w14:textId="77777777" w:rsidR="00B65B21" w:rsidRPr="00B65B21" w:rsidRDefault="00B65B21" w:rsidP="00B65B21">
      <w:pPr>
        <w:rPr>
          <w:b/>
          <w:bCs/>
        </w:rPr>
      </w:pPr>
      <w:r w:rsidRPr="00B65B21">
        <w:rPr>
          <w:b/>
          <w:bCs/>
        </w:rPr>
        <w:t>Revenue by Region</w:t>
      </w:r>
    </w:p>
    <w:p w14:paraId="405BFFA6" w14:textId="77777777" w:rsidR="00B65B21" w:rsidRPr="00B65B21" w:rsidRDefault="00B65B21" w:rsidP="00B65B21">
      <w:pPr>
        <w:numPr>
          <w:ilvl w:val="0"/>
          <w:numId w:val="5"/>
        </w:numPr>
      </w:pPr>
      <w:r w:rsidRPr="00B65B21">
        <w:rPr>
          <w:b/>
          <w:bCs/>
        </w:rPr>
        <w:t>Insight:</w:t>
      </w:r>
      <w:r w:rsidRPr="00B65B21">
        <w:t xml:space="preserve"> Revenue is exceptionally well-balanced geographically. Each region (North, East, West, and South) contributes nearly equal shares, ranging from 24.4% to 25.62%, or approximately 6M each.</w:t>
      </w:r>
    </w:p>
    <w:p w14:paraId="246B5D4C" w14:textId="77777777" w:rsidR="00B65B21" w:rsidRPr="00B65B21" w:rsidRDefault="00B65B21" w:rsidP="00B65B21">
      <w:pPr>
        <w:rPr>
          <w:b/>
          <w:bCs/>
        </w:rPr>
      </w:pPr>
      <w:r w:rsidRPr="00B65B21">
        <w:rPr>
          <w:b/>
          <w:bCs/>
        </w:rPr>
        <w:t>Cash Flow Insights</w:t>
      </w:r>
    </w:p>
    <w:p w14:paraId="45E6E5DB" w14:textId="77777777" w:rsidR="00B65B21" w:rsidRPr="00B65B21" w:rsidRDefault="00B65B21" w:rsidP="00B65B21">
      <w:pPr>
        <w:numPr>
          <w:ilvl w:val="0"/>
          <w:numId w:val="6"/>
        </w:numPr>
      </w:pPr>
      <w:r w:rsidRPr="00B65B21">
        <w:rPr>
          <w:b/>
          <w:bCs/>
        </w:rPr>
        <w:t>Net Cash:</w:t>
      </w:r>
      <w:r w:rsidRPr="00B65B21">
        <w:t xml:space="preserve"> 688K (0.69M).</w:t>
      </w:r>
    </w:p>
    <w:p w14:paraId="460CD3B5" w14:textId="77777777" w:rsidR="00B65B21" w:rsidRPr="00B65B21" w:rsidRDefault="00B65B21" w:rsidP="00B65B21">
      <w:pPr>
        <w:numPr>
          <w:ilvl w:val="0"/>
          <w:numId w:val="6"/>
        </w:numPr>
      </w:pPr>
      <w:r w:rsidRPr="00B65B21">
        <w:rPr>
          <w:b/>
          <w:bCs/>
        </w:rPr>
        <w:t>Monthly Net Cash Movement:</w:t>
      </w:r>
      <w:r w:rsidRPr="00B65B21">
        <w:t xml:space="preserve"> Shows a cumulative increase throughout the year.</w:t>
      </w:r>
    </w:p>
    <w:p w14:paraId="752295BA" w14:textId="77777777" w:rsidR="00B65B21" w:rsidRPr="00B65B21" w:rsidRDefault="00B65B21" w:rsidP="00B65B21">
      <w:pPr>
        <w:numPr>
          <w:ilvl w:val="0"/>
          <w:numId w:val="6"/>
        </w:numPr>
      </w:pPr>
      <w:r w:rsidRPr="00B65B21">
        <w:rPr>
          <w:b/>
          <w:bCs/>
        </w:rPr>
        <w:t>Insight:</w:t>
      </w:r>
      <w:r w:rsidRPr="00B65B21">
        <w:t xml:space="preserve"> The waterfall chart displays steady positive movement in net cash each month, culminating in the highest total by year-end, which reflects healthy liquidity management.</w:t>
      </w:r>
    </w:p>
    <w:p w14:paraId="4AD6EBA4" w14:textId="77777777" w:rsidR="00B65B21" w:rsidRPr="00B65B21" w:rsidRDefault="00B65B21" w:rsidP="00B65B21">
      <w:pPr>
        <w:rPr>
          <w:b/>
          <w:bCs/>
        </w:rPr>
      </w:pPr>
      <w:r w:rsidRPr="00B65B21">
        <w:rPr>
          <w:b/>
          <w:bCs/>
        </w:rPr>
        <w:t>Working Capital Efficiency (Aging Analysis)</w:t>
      </w:r>
    </w:p>
    <w:p w14:paraId="321AE226" w14:textId="77777777" w:rsidR="00B65B21" w:rsidRPr="00B65B21" w:rsidRDefault="00B65B21" w:rsidP="00B65B21">
      <w:pPr>
        <w:numPr>
          <w:ilvl w:val="0"/>
          <w:numId w:val="7"/>
        </w:numPr>
      </w:pPr>
      <w:r w:rsidRPr="00B65B21">
        <w:rPr>
          <w:b/>
          <w:bCs/>
        </w:rPr>
        <w:t>Insight:</w:t>
      </w:r>
      <w:r w:rsidRPr="00B65B21">
        <w:t xml:space="preserve"> The majority of aging volume is sitting in the 31–60 days bucket (18K) rather than the 0–30 days bucket (11K). This suggests that while cash flow is positive, payments are slightly lagging beyond the immediate 30-day window.</w:t>
      </w:r>
    </w:p>
    <w:p w14:paraId="4C62910A" w14:textId="77777777" w:rsidR="00B65B21" w:rsidRPr="00B65B21" w:rsidRDefault="00B65B21" w:rsidP="00B65B21">
      <w:pPr>
        <w:rPr>
          <w:b/>
          <w:bCs/>
        </w:rPr>
      </w:pPr>
      <w:r w:rsidRPr="00B65B21">
        <w:rPr>
          <w:b/>
          <w:bCs/>
        </w:rPr>
        <w:t>3. Overall Financial Health</w:t>
      </w:r>
    </w:p>
    <w:p w14:paraId="7C63002D" w14:textId="77777777" w:rsidR="00B65B21" w:rsidRPr="00B65B21" w:rsidRDefault="00B65B21" w:rsidP="00B65B21">
      <w:pPr>
        <w:numPr>
          <w:ilvl w:val="0"/>
          <w:numId w:val="8"/>
        </w:numPr>
      </w:pPr>
      <w:r w:rsidRPr="00B65B21">
        <w:rPr>
          <w:b/>
          <w:bCs/>
        </w:rPr>
        <w:lastRenderedPageBreak/>
        <w:t>Growth:</w:t>
      </w:r>
      <w:r w:rsidRPr="00B65B21">
        <w:t xml:space="preserve"> Stable monthly revenue with a significant peak in the final quarter.</w:t>
      </w:r>
    </w:p>
    <w:p w14:paraId="7D0AAC7D" w14:textId="77777777" w:rsidR="00B65B21" w:rsidRPr="00B65B21" w:rsidRDefault="00B65B21" w:rsidP="00B65B21">
      <w:pPr>
        <w:numPr>
          <w:ilvl w:val="0"/>
          <w:numId w:val="8"/>
        </w:numPr>
      </w:pPr>
      <w:r w:rsidRPr="00B65B21">
        <w:rPr>
          <w:b/>
          <w:bCs/>
        </w:rPr>
        <w:t>Profitability:</w:t>
      </w:r>
      <w:r w:rsidRPr="00B65B21">
        <w:t xml:space="preserve"> Strong Gross Margin maintained above 45%.</w:t>
      </w:r>
    </w:p>
    <w:p w14:paraId="1D883837" w14:textId="77777777" w:rsidR="00B65B21" w:rsidRPr="00B65B21" w:rsidRDefault="00B65B21" w:rsidP="00B65B21">
      <w:pPr>
        <w:numPr>
          <w:ilvl w:val="0"/>
          <w:numId w:val="8"/>
        </w:numPr>
      </w:pPr>
      <w:r w:rsidRPr="00B65B21">
        <w:rPr>
          <w:b/>
          <w:bCs/>
        </w:rPr>
        <w:t>Liquidity:</w:t>
      </w:r>
      <w:r w:rsidRPr="00B65B21">
        <w:t xml:space="preserve"> Positive net cash movement indicating a strong "runway".</w:t>
      </w:r>
    </w:p>
    <w:p w14:paraId="0DE152C0" w14:textId="77777777" w:rsidR="00B65B21" w:rsidRPr="00B65B21" w:rsidRDefault="00B65B21" w:rsidP="00B65B21">
      <w:pPr>
        <w:numPr>
          <w:ilvl w:val="0"/>
          <w:numId w:val="8"/>
        </w:numPr>
      </w:pPr>
      <w:r w:rsidRPr="00B65B21">
        <w:rPr>
          <w:b/>
          <w:bCs/>
        </w:rPr>
        <w:t>Efficiency:</w:t>
      </w:r>
      <w:r w:rsidRPr="00B65B21">
        <w:t xml:space="preserve"> Regional diversification is high, reducing dependency on any single market.</w:t>
      </w:r>
    </w:p>
    <w:p w14:paraId="18304F24" w14:textId="77777777" w:rsidR="00B65B21" w:rsidRPr="00B65B21" w:rsidRDefault="00B65B21" w:rsidP="00B65B21">
      <w:pPr>
        <w:numPr>
          <w:ilvl w:val="0"/>
          <w:numId w:val="8"/>
        </w:numPr>
      </w:pPr>
      <w:r w:rsidRPr="00B65B21">
        <w:rPr>
          <w:b/>
          <w:bCs/>
        </w:rPr>
        <w:t>Budget Discipline:</w:t>
      </w:r>
      <w:r w:rsidRPr="00B65B21">
        <w:t xml:space="preserve"> Revenue consistently tracks below budget, suggesting an opportunity to refine forecasting.</w:t>
      </w:r>
    </w:p>
    <w:p w14:paraId="1058E52F" w14:textId="77777777" w:rsidR="00B65B21" w:rsidRPr="00B65B21" w:rsidRDefault="00B65B21" w:rsidP="00B65B21">
      <w:pPr>
        <w:rPr>
          <w:b/>
          <w:bCs/>
        </w:rPr>
      </w:pPr>
      <w:r w:rsidRPr="00B65B21">
        <w:rPr>
          <w:b/>
          <w:bCs/>
        </w:rPr>
        <w:t>4. Recommendations</w:t>
      </w:r>
    </w:p>
    <w:p w14:paraId="3D5CEC07" w14:textId="77777777" w:rsidR="00B65B21" w:rsidRPr="00B65B21" w:rsidRDefault="00B65B21" w:rsidP="00B65B21">
      <w:pPr>
        <w:numPr>
          <w:ilvl w:val="0"/>
          <w:numId w:val="9"/>
        </w:numPr>
      </w:pPr>
      <w:r w:rsidRPr="00B65B21">
        <w:rPr>
          <w:b/>
          <w:bCs/>
        </w:rPr>
        <w:t>Refine Budget Forecasting:</w:t>
      </w:r>
      <w:r w:rsidRPr="00B65B21">
        <w:t xml:space="preserve"> Adjust future revenue budgets to more closely align with the historical actuals of 1.8M–2.1M per month.</w:t>
      </w:r>
    </w:p>
    <w:p w14:paraId="30D7ABF9" w14:textId="77777777" w:rsidR="00B65B21" w:rsidRPr="00B65B21" w:rsidRDefault="00B65B21" w:rsidP="00B65B21">
      <w:pPr>
        <w:numPr>
          <w:ilvl w:val="0"/>
          <w:numId w:val="9"/>
        </w:numPr>
      </w:pPr>
      <w:r w:rsidRPr="00B65B21">
        <w:rPr>
          <w:b/>
          <w:bCs/>
        </w:rPr>
        <w:t xml:space="preserve">Optimize </w:t>
      </w:r>
      <w:proofErr w:type="spellStart"/>
      <w:r w:rsidRPr="00B65B21">
        <w:rPr>
          <w:b/>
          <w:bCs/>
        </w:rPr>
        <w:t>Opex</w:t>
      </w:r>
      <w:proofErr w:type="spellEnd"/>
      <w:r w:rsidRPr="00B65B21">
        <w:rPr>
          <w:b/>
          <w:bCs/>
        </w:rPr>
        <w:t>:</w:t>
      </w:r>
      <w:r w:rsidRPr="00B65B21">
        <w:t xml:space="preserve"> Since </w:t>
      </w:r>
      <w:proofErr w:type="spellStart"/>
      <w:r w:rsidRPr="00B65B21">
        <w:t>Opex</w:t>
      </w:r>
      <w:proofErr w:type="spellEnd"/>
      <w:r w:rsidRPr="00B65B21">
        <w:t xml:space="preserve"> remains flat regardless of profit peaks, investigate fixed costs to improve the EBITDA margin.</w:t>
      </w:r>
    </w:p>
    <w:p w14:paraId="5CED4AB8" w14:textId="77777777" w:rsidR="00B65B21" w:rsidRPr="00B65B21" w:rsidRDefault="00B65B21" w:rsidP="00B65B21">
      <w:pPr>
        <w:numPr>
          <w:ilvl w:val="0"/>
          <w:numId w:val="9"/>
        </w:numPr>
      </w:pPr>
      <w:r w:rsidRPr="00B65B21">
        <w:rPr>
          <w:b/>
          <w:bCs/>
        </w:rPr>
        <w:t>Improve Collection Cycle:</w:t>
      </w:r>
      <w:r w:rsidRPr="00B65B21">
        <w:t xml:space="preserve"> Target the 31–</w:t>
      </w:r>
      <w:proofErr w:type="gramStart"/>
      <w:r w:rsidRPr="00B65B21">
        <w:t>60 day</w:t>
      </w:r>
      <w:proofErr w:type="gramEnd"/>
      <w:r w:rsidRPr="00B65B21">
        <w:t xml:space="preserve"> aging bucket to shift more receivables into the 0–</w:t>
      </w:r>
      <w:proofErr w:type="gramStart"/>
      <w:r w:rsidRPr="00B65B21">
        <w:t>30 day</w:t>
      </w:r>
      <w:proofErr w:type="gramEnd"/>
      <w:r w:rsidRPr="00B65B21">
        <w:t xml:space="preserve"> window to accelerate cash availability.</w:t>
      </w:r>
    </w:p>
    <w:p w14:paraId="165857D4" w14:textId="77777777" w:rsidR="00B65B21" w:rsidRPr="00B65B21" w:rsidRDefault="00B65B21" w:rsidP="00B65B21">
      <w:pPr>
        <w:numPr>
          <w:ilvl w:val="0"/>
          <w:numId w:val="9"/>
        </w:numPr>
      </w:pPr>
      <w:r w:rsidRPr="00B65B21">
        <w:rPr>
          <w:b/>
          <w:bCs/>
        </w:rPr>
        <w:t>Investigate Regional Parity:</w:t>
      </w:r>
      <w:r w:rsidRPr="00B65B21">
        <w:t xml:space="preserve"> Explore why all regions perform identically; there may be untapped growth potential in specific high-density markets.</w:t>
      </w:r>
    </w:p>
    <w:p w14:paraId="562E1178" w14:textId="77777777" w:rsidR="00B65B21" w:rsidRPr="00B65B21" w:rsidRDefault="00B65B21" w:rsidP="00B65B21">
      <w:pPr>
        <w:rPr>
          <w:b/>
          <w:bCs/>
        </w:rPr>
      </w:pPr>
      <w:r w:rsidRPr="00B65B21">
        <w:rPr>
          <w:b/>
          <w:bCs/>
        </w:rPr>
        <w:t>5. Conclusion</w:t>
      </w:r>
    </w:p>
    <w:p w14:paraId="4060FDF0" w14:textId="77777777" w:rsidR="00B65B21" w:rsidRPr="00B65B21" w:rsidRDefault="00B65B21" w:rsidP="00B65B21">
      <w:pPr>
        <w:numPr>
          <w:ilvl w:val="0"/>
          <w:numId w:val="10"/>
        </w:numPr>
      </w:pPr>
      <w:r w:rsidRPr="00B65B21">
        <w:t>The company demonstrates robust financial health with balanced regional revenue and a positive cash trajectory.</w:t>
      </w:r>
    </w:p>
    <w:p w14:paraId="63FAB5C1" w14:textId="77777777" w:rsidR="00B65B21" w:rsidRPr="00B65B21" w:rsidRDefault="00B65B21" w:rsidP="00B65B21">
      <w:pPr>
        <w:numPr>
          <w:ilvl w:val="0"/>
          <w:numId w:val="10"/>
        </w:numPr>
      </w:pPr>
      <w:r w:rsidRPr="00B65B21">
        <w:t>By addressing the variance between budgeted and actual revenue and tightening the collections cycle, the business can further solidify its financial position for the coming year.</w:t>
      </w:r>
    </w:p>
    <w:p w14:paraId="75B44F81" w14:textId="77777777" w:rsidR="008F4BB0" w:rsidRDefault="008F4BB0"/>
    <w:sectPr w:rsidR="008F4BB0" w:rsidSect="00612641">
      <w:pgSz w:w="11906" w:h="16838" w:code="9"/>
      <w:pgMar w:top="1440" w:right="1440" w:bottom="1440"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F0A"/>
    <w:multiLevelType w:val="multilevel"/>
    <w:tmpl w:val="FDB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550AE"/>
    <w:multiLevelType w:val="multilevel"/>
    <w:tmpl w:val="CFB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45F06"/>
    <w:multiLevelType w:val="multilevel"/>
    <w:tmpl w:val="5D4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E1B3E"/>
    <w:multiLevelType w:val="multilevel"/>
    <w:tmpl w:val="C20CD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A15B5"/>
    <w:multiLevelType w:val="multilevel"/>
    <w:tmpl w:val="E87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D5558"/>
    <w:multiLevelType w:val="multilevel"/>
    <w:tmpl w:val="CA74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112D3"/>
    <w:multiLevelType w:val="multilevel"/>
    <w:tmpl w:val="A80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7381C"/>
    <w:multiLevelType w:val="multilevel"/>
    <w:tmpl w:val="853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96FE6"/>
    <w:multiLevelType w:val="multilevel"/>
    <w:tmpl w:val="487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4736C"/>
    <w:multiLevelType w:val="multilevel"/>
    <w:tmpl w:val="910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746714">
    <w:abstractNumId w:val="1"/>
  </w:num>
  <w:num w:numId="2" w16cid:durableId="101927191">
    <w:abstractNumId w:val="9"/>
  </w:num>
  <w:num w:numId="3" w16cid:durableId="1269967556">
    <w:abstractNumId w:val="4"/>
  </w:num>
  <w:num w:numId="4" w16cid:durableId="35593154">
    <w:abstractNumId w:val="5"/>
  </w:num>
  <w:num w:numId="5" w16cid:durableId="1850295400">
    <w:abstractNumId w:val="2"/>
  </w:num>
  <w:num w:numId="6" w16cid:durableId="1722483557">
    <w:abstractNumId w:val="0"/>
  </w:num>
  <w:num w:numId="7" w16cid:durableId="22639425">
    <w:abstractNumId w:val="8"/>
  </w:num>
  <w:num w:numId="8" w16cid:durableId="701593712">
    <w:abstractNumId w:val="7"/>
  </w:num>
  <w:num w:numId="9" w16cid:durableId="190731615">
    <w:abstractNumId w:val="3"/>
  </w:num>
  <w:num w:numId="10" w16cid:durableId="1063793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21"/>
    <w:rsid w:val="004B125E"/>
    <w:rsid w:val="00612641"/>
    <w:rsid w:val="008F4BB0"/>
    <w:rsid w:val="00B021DA"/>
    <w:rsid w:val="00B65B21"/>
    <w:rsid w:val="00B73638"/>
    <w:rsid w:val="00C00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A253"/>
  <w15:chartTrackingRefBased/>
  <w15:docId w15:val="{6C8E3B47-083B-4BEF-A043-BDE68C58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B21"/>
    <w:rPr>
      <w:rFonts w:eastAsiaTheme="majorEastAsia" w:cstheme="majorBidi"/>
      <w:color w:val="272727" w:themeColor="text1" w:themeTint="D8"/>
    </w:rPr>
  </w:style>
  <w:style w:type="paragraph" w:styleId="Title">
    <w:name w:val="Title"/>
    <w:basedOn w:val="Normal"/>
    <w:next w:val="Normal"/>
    <w:link w:val="TitleChar"/>
    <w:uiPriority w:val="10"/>
    <w:qFormat/>
    <w:rsid w:val="00B65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B21"/>
    <w:pPr>
      <w:spacing w:before="160"/>
      <w:jc w:val="center"/>
    </w:pPr>
    <w:rPr>
      <w:i/>
      <w:iCs/>
      <w:color w:val="404040" w:themeColor="text1" w:themeTint="BF"/>
    </w:rPr>
  </w:style>
  <w:style w:type="character" w:customStyle="1" w:styleId="QuoteChar">
    <w:name w:val="Quote Char"/>
    <w:basedOn w:val="DefaultParagraphFont"/>
    <w:link w:val="Quote"/>
    <w:uiPriority w:val="29"/>
    <w:rsid w:val="00B65B21"/>
    <w:rPr>
      <w:i/>
      <w:iCs/>
      <w:color w:val="404040" w:themeColor="text1" w:themeTint="BF"/>
    </w:rPr>
  </w:style>
  <w:style w:type="paragraph" w:styleId="ListParagraph">
    <w:name w:val="List Paragraph"/>
    <w:basedOn w:val="Normal"/>
    <w:uiPriority w:val="34"/>
    <w:qFormat/>
    <w:rsid w:val="00B65B21"/>
    <w:pPr>
      <w:ind w:left="720"/>
      <w:contextualSpacing/>
    </w:pPr>
  </w:style>
  <w:style w:type="character" w:styleId="IntenseEmphasis">
    <w:name w:val="Intense Emphasis"/>
    <w:basedOn w:val="DefaultParagraphFont"/>
    <w:uiPriority w:val="21"/>
    <w:qFormat/>
    <w:rsid w:val="00B65B21"/>
    <w:rPr>
      <w:i/>
      <w:iCs/>
      <w:color w:val="2F5496" w:themeColor="accent1" w:themeShade="BF"/>
    </w:rPr>
  </w:style>
  <w:style w:type="paragraph" w:styleId="IntenseQuote">
    <w:name w:val="Intense Quote"/>
    <w:basedOn w:val="Normal"/>
    <w:next w:val="Normal"/>
    <w:link w:val="IntenseQuoteChar"/>
    <w:uiPriority w:val="30"/>
    <w:qFormat/>
    <w:rsid w:val="00B65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B21"/>
    <w:rPr>
      <w:i/>
      <w:iCs/>
      <w:color w:val="2F5496" w:themeColor="accent1" w:themeShade="BF"/>
    </w:rPr>
  </w:style>
  <w:style w:type="character" w:styleId="IntenseReference">
    <w:name w:val="Intense Reference"/>
    <w:basedOn w:val="DefaultParagraphFont"/>
    <w:uiPriority w:val="32"/>
    <w:qFormat/>
    <w:rsid w:val="00B65B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aadarsh1kumar12345@outlook.com</dc:creator>
  <cp:keywords/>
  <dc:description/>
  <cp:lastModifiedBy>aadarsh1kumar12345@outlook.com</cp:lastModifiedBy>
  <cp:revision>1</cp:revision>
  <dcterms:created xsi:type="dcterms:W3CDTF">2025-12-23T08:36:00Z</dcterms:created>
  <dcterms:modified xsi:type="dcterms:W3CDTF">2025-12-23T08:38:00Z</dcterms:modified>
</cp:coreProperties>
</file>