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52"/>
          <w:szCs w:val="52"/>
        </w:rPr>
        <w:t xml:space="preserve">MedTech MLR Copilot</w:t>
      </w:r>
    </w:p>
    <w:p>
      <w:pPr>
        <w:spacing w:after="40"/>
      </w:pPr>
      <w:r>
        <w:rPr>
          <w:rFonts w:ascii="Arial" w:cs="Arial" w:eastAsia="Arial" w:hAnsi="Arial"/>
          <w:color w:val="2E5E8E"/>
          <w:sz w:val="30"/>
          <w:szCs w:val="30"/>
        </w:rPr>
        <w:t xml:space="preserve">v0 MVP – Product Requirements Document</w:t>
      </w:r>
    </w:p>
    <w:p>
      <w:pPr>
        <w:pBdr>
          <w:bottom w:val="single" w:color="1B3A5C" w:sz="8"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Requirements Document</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MedTech MLR Copilot – v0 MVP</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2026-02-18</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for Review</w:t>
            </w:r>
          </w:p>
        </w:tc>
      </w:tr>
    </w:tbl>
    <w:p>
      <w:pPr>
        <w:spacing w:after="60"/>
      </w:pPr>
    </w:p>
    <w:p>
      <w:pPr>
        <w:pStyle w:val="Heading1"/>
      </w:pPr>
      <w:r>
        <w:t xml:space="preserve">1  Executive Summary</w:t>
      </w:r>
    </w:p>
    <w:p>
      <w:pPr>
        <w:spacing w:after="120"/>
      </w:pPr>
      <w:r>
        <w:rPr>
          <w:rFonts w:ascii="Arial" w:cs="Arial" w:eastAsia="Arial" w:hAnsi="Arial"/>
          <w:sz w:val="22"/>
          <w:szCs w:val="22"/>
        </w:rPr>
        <w:t xml:space="preserve">MedTech MLR Copilot is a lightweight, AI-assisted pre-review tool designed for medical-device teams that need a structured, device-aware check on promotional and training content before formal Medical, Legal, and Regulatory (MLR) review.</w:t>
      </w:r>
    </w:p>
    <w:p>
      <w:pPr>
        <w:spacing w:after="120"/>
      </w:pPr>
      <w:r>
        <w:rPr>
          <w:rFonts w:ascii="Arial" w:cs="Arial" w:eastAsia="Arial" w:hAnsi="Arial"/>
          <w:sz w:val="22"/>
          <w:szCs w:val="22"/>
        </w:rPr>
        <w:t xml:space="preserve">The product is a standalone web application. All AI-driven analysis is implemented via direct Claude API calls from the backend, with product-specific context injected into carefully designed prompts and retrieved via a simple in-app RAG layer. There is no dedicated agent-orchestration platform in v0; the backend itself orchestrates the logical steps (extract claims, match to library, check rules and label, suggest rewording) as plain functions backed by Claude prompts and deterministic checks.</w:t>
      </w:r>
    </w:p>
    <w:p>
      <w:pPr>
        <w:spacing w:after="120"/>
      </w:pPr>
      <w:r>
        <w:rPr>
          <w:rFonts w:ascii="Arial" w:cs="Arial" w:eastAsia="Arial" w:hAnsi="Arial"/>
          <w:sz w:val="22"/>
          <w:szCs w:val="22"/>
        </w:rPr>
        <w:t xml:space="preserve">The v0 MVP delivers two flows: (a) a quick onboarding wizard to create a Product Profile, and (b) an analysis workflow where the user pastes content, clicks Analyze, and receives a structured, per-claim assessment rendered in a three-column Copli-style interface. The tool is explicitly positioned as an AI pre-check (“pre-flight”), not a final legal or regulatory sign-off.</w:t>
      </w:r>
    </w:p>
    <w:p>
      <w:pPr>
        <w:spacing w:after="120"/>
      </w:pPr>
      <w:r>
        <w:rPr>
          <w:rFonts w:ascii="Arial" w:cs="Arial" w:eastAsia="Arial" w:hAnsi="Arial"/>
          <w:sz w:val="22"/>
          <w:szCs w:val="22"/>
        </w:rPr>
        <w:t xml:space="preserve">For the v0 public beta, the backend does not persist raw user content or analysis results. Content is processed transiently in memory and discarded after the response is sent. Persistence of analysis history and version control are planned as future enhancements.</w:t>
      </w:r>
    </w:p>
    <w:p>
      <w:pPr>
        <w:pStyle w:val="Heading1"/>
      </w:pPr>
      <w:r>
        <w:t xml:space="preserve">2  Problem Statement</w:t>
      </w:r>
    </w:p>
    <w:p>
      <w:pPr>
        <w:pStyle w:val="Heading2"/>
      </w:pPr>
      <w:r>
        <w:t xml:space="preserve">2.1  Context</w:t>
      </w:r>
    </w:p>
    <w:p>
      <w:pPr>
        <w:spacing w:after="120"/>
      </w:pPr>
      <w:r>
        <w:rPr>
          <w:rFonts w:ascii="Arial" w:cs="Arial" w:eastAsia="Arial" w:hAnsi="Arial"/>
          <w:sz w:val="22"/>
          <w:szCs w:val="22"/>
        </w:rPr>
        <w:t xml:space="preserve">Medtech companies produce a high volume of HCP-facing and training content: emails, brochures, slide decks, procedure guides, and training materials. These assets must be reviewed for alignment with the device’s cleared label, approved claims, and internal promotional policies. Today, this review process is slow, manual, and fragmented.</w:t>
      </w:r>
    </w:p>
    <w:p>
      <w:pPr>
        <w:pStyle w:val="Heading2"/>
      </w:pPr>
      <w:r>
        <w:t xml:space="preserve">2.2  Pain Points</w:t>
      </w:r>
    </w:p>
    <w:p>
      <w:pPr>
        <w:pStyle w:val="ListParagraph"/>
        <w:numPr>
          <w:ilvl w:val="0"/>
          <w:numId w:val="2"/>
        </w:numPr>
      </w:pPr>
      <w:r>
        <w:rPr>
          <w:rFonts w:ascii="Arial" w:cs="Arial" w:eastAsia="Arial" w:hAnsi="Arial"/>
          <w:sz w:val="22"/>
          <w:szCs w:val="22"/>
        </w:rPr>
        <w:t xml:space="preserve">Claim visibility: It is hard to see all claims in a long asset. Reviewers must read line by line against the IFU and an approved-claims spreadsheet.</w:t>
      </w:r>
    </w:p>
    <w:p>
      <w:pPr>
        <w:pStyle w:val="ListParagraph"/>
        <w:numPr>
          <w:ilvl w:val="0"/>
          <w:numId w:val="2"/>
        </w:numPr>
      </w:pPr>
      <w:r>
        <w:rPr>
          <w:rFonts w:ascii="Arial" w:cs="Arial" w:eastAsia="Arial" w:hAnsi="Arial"/>
          <w:sz w:val="22"/>
          <w:szCs w:val="22"/>
        </w:rPr>
        <w:t xml:space="preserve">Redundant review cycles: Tiny wording tweaks to previously approved claims get re-evaluated from scratch every time an asset is revised.</w:t>
      </w:r>
    </w:p>
    <w:p>
      <w:pPr>
        <w:pStyle w:val="ListParagraph"/>
        <w:numPr>
          <w:ilvl w:val="0"/>
          <w:numId w:val="2"/>
        </w:numPr>
      </w:pPr>
      <w:r>
        <w:rPr>
          <w:rFonts w:ascii="Arial" w:cs="Arial" w:eastAsia="Arial" w:hAnsi="Arial"/>
          <w:sz w:val="22"/>
          <w:szCs w:val="22"/>
        </w:rPr>
        <w:t xml:space="preserve">Off-label drift: Without a structured check, claims can gradually diverge from the device’s cleared indications, especially in derivative content.</w:t>
      </w:r>
    </w:p>
    <w:p>
      <w:pPr>
        <w:pStyle w:val="ListParagraph"/>
        <w:numPr>
          <w:ilvl w:val="0"/>
          <w:numId w:val="2"/>
        </w:numPr>
      </w:pPr>
      <w:r>
        <w:rPr>
          <w:rFonts w:ascii="Arial" w:cs="Arial" w:eastAsia="Arial" w:hAnsi="Arial"/>
          <w:sz w:val="22"/>
          <w:szCs w:val="22"/>
        </w:rPr>
        <w:t xml:space="preserve">Forgotten house rules: Internal promo rules (no superlatives, economic-claim handling, risk-balance requirements) live in static documents that are easy to miss.</w:t>
      </w:r>
    </w:p>
    <w:p>
      <w:pPr>
        <w:pStyle w:val="ListParagraph"/>
        <w:numPr>
          <w:ilvl w:val="0"/>
          <w:numId w:val="2"/>
        </w:numPr>
      </w:pPr>
      <w:r>
        <w:rPr>
          <w:rFonts w:ascii="Arial" w:cs="Arial" w:eastAsia="Arial" w:hAnsi="Arial"/>
          <w:sz w:val="22"/>
          <w:szCs w:val="22"/>
        </w:rPr>
        <w:t xml:space="preserve">No structured pre-check: There is no quick, automated step between “draft done” and “send to MLR/PRC.” Content enters formal review with avoidable issues still present.</w:t>
      </w:r>
    </w:p>
    <w:p>
      <w:pPr>
        <w:pStyle w:val="Heading2"/>
      </w:pPr>
      <w:r>
        <w:t xml:space="preserve">2.3  Who Is Affected</w:t>
      </w:r>
    </w:p>
    <w:p>
      <w:pPr>
        <w:spacing w:after="120"/>
      </w:pPr>
      <w:r>
        <w:rPr>
          <w:rFonts w:ascii="Arial" w:cs="Arial" w:eastAsia="Arial" w:hAnsi="Arial"/>
          <w:sz w:val="22"/>
          <w:szCs w:val="22"/>
        </w:rPr>
        <w:t xml:space="preserve">Small-to-mid-size medtech companies—and even some divisions of large device companies—that are not on Veeva Vault PromoMats. These teams manage promotional assets via email, PowerPoint, SharePoint, and PDF markups, with no centralized promotional-review system.</w:t>
      </w:r>
    </w:p>
    <w:p>
      <w:pPr>
        <w:pStyle w:val="Heading2"/>
      </w:pPr>
      <w:r>
        <w:t xml:space="preserve">2.4  Opportunity</w:t>
      </w:r>
    </w:p>
    <w:p>
      <w:pPr>
        <w:spacing w:after="120"/>
      </w:pPr>
      <w:r>
        <w:rPr>
          <w:rFonts w:ascii="Arial" w:cs="Arial" w:eastAsia="Arial" w:hAnsi="Arial"/>
          <w:sz w:val="22"/>
          <w:szCs w:val="22"/>
        </w:rPr>
        <w:t xml:space="preserve">A device-aware copilot that extracts claims from draft content, maps them against a pre-approved library, flags deviations from the label and rules, and suggests safer wording would let authors self-service a meaningful first pass. This reduces MLR cycle time, improves content quality at the point of creation, and surfaces issues upstream rather than in committee.</w:t>
      </w:r>
    </w:p>
    <w:p>
      <w:pPr>
        <w:pStyle w:val="Heading1"/>
      </w:pPr>
      <w:r>
        <w:t xml:space="preserve">3  Target Users &amp; Personas</w:t>
      </w:r>
    </w:p>
    <w:p>
      <w:pPr>
        <w:spacing w:after="120"/>
      </w:pPr>
      <w:r>
        <w:rPr>
          <w:rFonts w:ascii="Arial" w:cs="Arial" w:eastAsia="Arial" w:hAnsi="Arial"/>
          <w:b/>
          <w:bCs/>
          <w:sz w:val="22"/>
          <w:szCs w:val="22"/>
        </w:rPr>
        <w:t xml:space="preserve">Primary – Medtech Marketer / Product Manager: </w:t>
      </w:r>
      <w:r>
        <w:rPr>
          <w:rFonts w:ascii="Arial" w:cs="Arial" w:eastAsia="Arial" w:hAnsi="Arial"/>
          <w:sz w:val="22"/>
          <w:szCs w:val="22"/>
        </w:rPr>
        <w:t xml:space="preserve">Drafts HCP-facing promotional and training content. Understands the device’s value proposition but may lack deep regulatory expertise. Wants a “pre-flight check”: show me the claims, tell me what looks risky relative to our label and rules, and give me safer wording.</w:t>
      </w:r>
    </w:p>
    <w:p>
      <w:pPr>
        <w:spacing w:after="60"/>
      </w:pPr>
    </w:p>
    <w:p>
      <w:pPr>
        <w:spacing w:after="120"/>
      </w:pPr>
      <w:r>
        <w:rPr>
          <w:rFonts w:ascii="Arial" w:cs="Arial" w:eastAsia="Arial" w:hAnsi="Arial"/>
          <w:b/>
          <w:bCs/>
          <w:sz w:val="22"/>
          <w:szCs w:val="22"/>
        </w:rPr>
        <w:t xml:space="preserve">Secondary – Medical / Regulatory Affairs Reviewer: </w:t>
      </w:r>
      <w:r>
        <w:rPr>
          <w:rFonts w:ascii="Arial" w:cs="Arial" w:eastAsia="Arial" w:hAnsi="Arial"/>
          <w:sz w:val="22"/>
          <w:szCs w:val="22"/>
        </w:rPr>
        <w:t xml:space="preserve">Reviews content for label compliance and promotional-rule adherence. Would use the tool to pre-screen assets or verify that a marketer’s revisions addressed known issues. Configures the Product Profile.</w:t>
      </w:r>
    </w:p>
    <w:p>
      <w:pPr>
        <w:spacing w:after="60"/>
      </w:pPr>
    </w:p>
    <w:p>
      <w:pPr>
        <w:spacing w:after="120"/>
      </w:pPr>
      <w:r>
        <w:rPr>
          <w:rFonts w:ascii="Arial" w:cs="Arial" w:eastAsia="Arial" w:hAnsi="Arial"/>
          <w:b/>
          <w:bCs/>
          <w:sz w:val="22"/>
          <w:szCs w:val="22"/>
        </w:rPr>
        <w:t xml:space="preserve">Tertiary – Agency / External Contractor: </w:t>
      </w:r>
      <w:r>
        <w:rPr>
          <w:rFonts w:ascii="Arial" w:cs="Arial" w:eastAsia="Arial" w:hAnsi="Arial"/>
          <w:sz w:val="22"/>
          <w:szCs w:val="22"/>
        </w:rPr>
        <w:t xml:space="preserve">External writers creating content on behalf of the manufacturer. Could receive a Product Profile export or access link to self-check drafts before submission.</w:t>
      </w:r>
    </w:p>
    <w:p>
      <w:pPr>
        <w:pStyle w:val="Heading1"/>
      </w:pPr>
      <w:r>
        <w:t xml:space="preserve">4  Product Concept &amp; Architecture</w:t>
      </w:r>
    </w:p>
    <w:p>
      <w:pPr>
        <w:pStyle w:val="Heading2"/>
      </w:pPr>
      <w:r>
        <w:t xml:space="preserve">4.1  High-Level Architecture</w:t>
      </w:r>
    </w:p>
    <w:p>
      <w:pPr>
        <w:spacing w:after="120"/>
      </w:pPr>
      <w:r>
        <w:rPr>
          <w:rFonts w:ascii="Arial" w:cs="Arial" w:eastAsia="Arial" w:hAnsi="Arial"/>
          <w:sz w:val="22"/>
          <w:szCs w:val="22"/>
        </w:rPr>
        <w:t xml:space="preserve">The system consists of three layers:</w:t>
      </w:r>
    </w:p>
    <w:p>
      <w:pPr>
        <w:pStyle w:val="ListParagraph"/>
        <w:numPr>
          <w:ilvl w:val="0"/>
          <w:numId w:val="3"/>
        </w:numPr>
      </w:pPr>
      <w:r>
        <w:rPr>
          <w:rFonts w:ascii="Arial" w:cs="Arial" w:eastAsia="Arial" w:hAnsi="Arial"/>
          <w:sz w:val="22"/>
          <w:szCs w:val="22"/>
        </w:rPr>
        <w:t xml:space="preserve">Frontend – Single-page web application (React / Next.js). Provides the onboarding wizard and the three-column analysis UI. Communicates only with the backend API; never calls Claude or any LLM directly.</w:t>
      </w:r>
    </w:p>
    <w:p>
      <w:pPr>
        <w:pStyle w:val="ListParagraph"/>
        <w:numPr>
          <w:ilvl w:val="0"/>
          <w:numId w:val="3"/>
        </w:numPr>
      </w:pPr>
      <w:r>
        <w:rPr>
          <w:rFonts w:ascii="Arial" w:cs="Arial" w:eastAsia="Arial" w:hAnsi="Arial"/>
          <w:sz w:val="22"/>
          <w:szCs w:val="22"/>
        </w:rPr>
        <w:t xml:space="preserve">Backend API – The core orchestration layer (Node or Python). Manages Product Profiles (CRUD), orchestrates analysis logic via direct Claude API calls, runs deterministic checks, and returns results to the frontend. For the v0 public beta, the backend does not persist raw user content or analysis results by default. It processes each request in memory, returns the structured analysis, and discards the content after the response is sent.</w:t>
      </w:r>
    </w:p>
    <w:p>
      <w:pPr>
        <w:pStyle w:val="ListParagraph"/>
        <w:numPr>
          <w:ilvl w:val="0"/>
          <w:numId w:val="3"/>
        </w:numPr>
      </w:pPr>
      <w:r>
        <w:rPr>
          <w:rFonts w:ascii="Arial" w:cs="Arial" w:eastAsia="Arial" w:hAnsi="Arial"/>
          <w:sz w:val="22"/>
          <w:szCs w:val="22"/>
        </w:rPr>
        <w:t xml:space="preserve">Claude API – All LLM-driven reasoning is implemented via direct calls to the Claude API from the backend. There is no dedicated agent-orchestration platform in v0. The backend itself sequences the logical steps (extractClaims → matchToLibrary → checkRulesAndLabel → suggestRewording) as plain functions, each backed by Claude prompts and/or deterministic logic.</w:t>
      </w:r>
    </w:p>
    <w:p>
      <w:pPr>
        <w:spacing w:after="60"/>
      </w:pPr>
    </w:p>
    <w:p>
      <w:pPr>
        <w:spacing w:after="120"/>
      </w:pPr>
      <w:r>
        <w:rPr>
          <w:rFonts w:ascii="Arial" w:cs="Arial" w:eastAsia="Arial" w:hAnsi="Arial"/>
          <w:sz w:val="22"/>
          <w:szCs w:val="22"/>
        </w:rPr>
        <w:t xml:space="preserve">Later versions may migrate these functions into a more formal agent or orchestration framework, but this is explicitly out of scope for v0.</w:t>
      </w:r>
    </w:p>
    <w:p>
      <w:pPr>
        <w:pStyle w:val="Heading2"/>
      </w:pPr>
      <w:r>
        <w:t xml:space="preserve">4.2  Backend Orchestration &amp; Claude Integration</w:t>
      </w:r>
    </w:p>
    <w:p>
      <w:pPr>
        <w:pStyle w:val="Heading3"/>
      </w:pPr>
      <w:r>
        <w:t xml:space="preserve">4.2.1  The /analyze Endpoint</w:t>
      </w:r>
    </w:p>
    <w:p>
      <w:pPr>
        <w:spacing w:after="120"/>
      </w:pPr>
      <w:r>
        <w:rPr>
          <w:rFonts w:ascii="Arial" w:cs="Arial" w:eastAsia="Arial" w:hAnsi="Arial"/>
          <w:sz w:val="22"/>
          <w:szCs w:val="22"/>
        </w:rPr>
        <w:t xml:space="preserve">The backend exposes a single /analyze endpoint that:</w:t>
      </w:r>
    </w:p>
    <w:p>
      <w:pPr>
        <w:pStyle w:val="ListParagraph"/>
        <w:numPr>
          <w:ilvl w:val="0"/>
          <w:numId w:val="2"/>
        </w:numPr>
      </w:pPr>
      <w:r>
        <w:rPr>
          <w:rFonts w:ascii="Arial" w:cs="Arial" w:eastAsia="Arial" w:hAnsi="Arial"/>
          <w:sz w:val="22"/>
          <w:szCs w:val="22"/>
        </w:rPr>
        <w:t xml:space="preserve">Receives the selected Product Profile (or its ID) and the pasted content, plus optional previous content.</w:t>
      </w:r>
    </w:p>
    <w:p>
      <w:pPr>
        <w:pStyle w:val="ListParagraph"/>
        <w:numPr>
          <w:ilvl w:val="0"/>
          <w:numId w:val="2"/>
        </w:numPr>
      </w:pPr>
      <w:r>
        <w:rPr>
          <w:rFonts w:ascii="Arial" w:cs="Arial" w:eastAsia="Arial" w:hAnsi="Arial"/>
          <w:sz w:val="22"/>
          <w:szCs w:val="22"/>
        </w:rPr>
        <w:t xml:space="preserve">Loads the Product Profile data (indication/IFU, risks and limitations, core claims, promo rules) from the database.</w:t>
      </w:r>
    </w:p>
    <w:p>
      <w:pPr>
        <w:pStyle w:val="ListParagraph"/>
        <w:numPr>
          <w:ilvl w:val="0"/>
          <w:numId w:val="2"/>
        </w:numPr>
      </w:pPr>
      <w:r>
        <w:rPr>
          <w:rFonts w:ascii="Arial" w:cs="Arial" w:eastAsia="Arial" w:hAnsi="Arial"/>
          <w:sz w:val="22"/>
          <w:szCs w:val="22"/>
        </w:rPr>
        <w:t xml:space="preserve">Calls Claude with carefully designed prompts that include the product’s label data as context.</w:t>
      </w:r>
    </w:p>
    <w:p>
      <w:pPr>
        <w:pStyle w:val="ListParagraph"/>
        <w:numPr>
          <w:ilvl w:val="0"/>
          <w:numId w:val="2"/>
        </w:numPr>
      </w:pPr>
      <w:r>
        <w:rPr>
          <w:rFonts w:ascii="Arial" w:cs="Arial" w:eastAsia="Arial" w:hAnsi="Arial"/>
          <w:sz w:val="22"/>
          <w:szCs w:val="22"/>
        </w:rPr>
        <w:t xml:space="preserve">Orchestrates the logical steps (extractClaims → matchToLibrary → checkRulesAndLabel → suggestRewording → computeDiff) as plain functions.</w:t>
      </w:r>
    </w:p>
    <w:p>
      <w:pPr>
        <w:pStyle w:val="ListParagraph"/>
        <w:numPr>
          <w:ilvl w:val="0"/>
          <w:numId w:val="2"/>
        </w:numPr>
      </w:pPr>
      <w:r>
        <w:rPr>
          <w:rFonts w:ascii="Arial" w:cs="Arial" w:eastAsia="Arial" w:hAnsi="Arial"/>
          <w:sz w:val="22"/>
          <w:szCs w:val="22"/>
        </w:rPr>
        <w:t xml:space="preserve">Returns a single structured JSON response to the frontend and then discards the request payload from memory. No raw content or analysis results are persisted in v0.</w:t>
      </w:r>
    </w:p>
    <w:p>
      <w:pPr>
        <w:pStyle w:val="Heading3"/>
      </w:pPr>
      <w:r>
        <w:t xml:space="preserve">4.2.2  In-App RAG Layer</w:t>
      </w:r>
    </w:p>
    <w:p>
      <w:pPr>
        <w:spacing w:after="120"/>
      </w:pPr>
      <w:r>
        <w:rPr>
          <w:rFonts w:ascii="Arial" w:cs="Arial" w:eastAsia="Arial" w:hAnsi="Arial"/>
          <w:sz w:val="22"/>
          <w:szCs w:val="22"/>
        </w:rPr>
        <w:t xml:space="preserve">Any retrieval over product data (e.g., finding the most relevant label or rule snippets for a given claim) is done via a simple in-app RAG layer that we implement ourselves in v0. This may be:</w:t>
      </w:r>
    </w:p>
    <w:p>
      <w:pPr>
        <w:pStyle w:val="ListParagraph"/>
        <w:numPr>
          <w:ilvl w:val="0"/>
          <w:numId w:val="2"/>
        </w:numPr>
      </w:pPr>
      <w:r>
        <w:rPr>
          <w:rFonts w:ascii="Arial" w:cs="Arial" w:eastAsia="Arial" w:hAnsi="Arial"/>
          <w:sz w:val="22"/>
          <w:szCs w:val="22"/>
        </w:rPr>
        <w:t xml:space="preserve">In-memory search using lightweight embeddings and cosine similarity, suitable for the small document sizes typical of a single Product Profile.</w:t>
      </w:r>
    </w:p>
    <w:p>
      <w:pPr>
        <w:pStyle w:val="ListParagraph"/>
        <w:numPr>
          <w:ilvl w:val="0"/>
          <w:numId w:val="2"/>
        </w:numPr>
      </w:pPr>
      <w:r>
        <w:rPr>
          <w:rFonts w:ascii="Arial" w:cs="Arial" w:eastAsia="Arial" w:hAnsi="Arial"/>
          <w:sz w:val="22"/>
          <w:szCs w:val="22"/>
        </w:rPr>
        <w:t xml:space="preserve">A lightweight vector store (e.g., a local SQLite-backed embedding index) if profiles grow large enough to warrant it.</w:t>
      </w:r>
    </w:p>
    <w:p>
      <w:pPr>
        <w:spacing w:after="120"/>
      </w:pPr>
      <w:r>
        <w:rPr>
          <w:rFonts w:ascii="Arial" w:cs="Arial" w:eastAsia="Arial" w:hAnsi="Arial"/>
          <w:sz w:val="22"/>
          <w:szCs w:val="22"/>
        </w:rPr>
        <w:t xml:space="preserve">Because each Product Profile is relatively small (IFU text, a handful of claims, and a few rules), a simple retrieval mechanism is sufficient. No external vector database is required for v0.</w:t>
      </w:r>
    </w:p>
    <w:p>
      <w:pPr>
        <w:pStyle w:val="Heading3"/>
      </w:pPr>
      <w:r>
        <w:t xml:space="preserve">4.2.3  Backend Functions</w:t>
      </w:r>
    </w:p>
    <w:p>
      <w:pPr>
        <w:spacing w:after="120"/>
      </w:pPr>
      <w:r>
        <w:rPr>
          <w:rFonts w:ascii="Arial" w:cs="Arial" w:eastAsia="Arial" w:hAnsi="Arial"/>
          <w:sz w:val="22"/>
          <w:szCs w:val="22"/>
        </w:rPr>
        <w:t xml:space="preserve">The backend implements four core functions, each backed by Claude prompts and/or deterministic checks: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extractClaims</w:t>
            </w:r>
          </w:p>
        </w:tc>
        <w:tc>
          <w:tcPr>
            <w:tcW w:type="dxa" w:w="3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Raw promotional/training content (text); asset metadata (channel, asset name).</w:t>
            </w:r>
          </w:p>
        </w:tc>
        <w:tc>
          <w:tcPr>
            <w:tcW w:type="dxa" w:w="3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Ordered list of claim objects: extracted text span, char offsets (start/end), claim type (performance, procedural, safety, economic, usability, other).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matchToLibrary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Extracted claims list; Product Profile core claims library (retrieved via in-app RAG).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claim: matched core claim ID or “none;” match status (Approved Match / Variant / New); similarity score.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checkRulesAnd
Label</w:t>
            </w:r>
          </w:p>
        </w:tc>
        <w:tc>
          <w:tcPr>
            <w:tcW w:type="dxa" w:w="3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Per claim: text + type + match result; Product Profile indication/IFU, risks/limitations, promo rules (via in-app RAG). Includes deterministic sub-checks.</w:t>
            </w:r>
          </w:p>
        </w:tc>
        <w:tc>
          <w:tcPr>
            <w:tcW w:type="dxa" w:w="3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Per claim: list of issue objects (issue type, severity, explanation, label/rule excerpt); deterministic flags; overall risk level (OK / Caution / High Risk).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suggestRe
wording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 text; associated issues; matched core claim (if any); Product Profile context (via in-app RAG).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Suggested alternative wording; short note (e.g., “removed superlative”); confidence qualifier.</w:t>
            </w:r>
          </w:p>
        </w:tc>
      </w:tr>
    </w:tbl>
    <w:p>
      <w:pPr>
        <w:spacing w:after="60"/>
      </w:pPr>
    </w:p>
    <w:p>
      <w:pPr>
        <w:spacing w:after="120"/>
      </w:pPr>
      <w:r>
        <w:rPr>
          <w:rFonts w:ascii="Arial" w:cs="Arial" w:eastAsia="Arial" w:hAnsi="Arial"/>
          <w:sz w:val="22"/>
          <w:szCs w:val="22"/>
        </w:rPr>
        <w:t xml:space="preserve">The checkRulesAndLabel function includes both deterministic sub-checks and grounded Claude reasoning:</w:t>
      </w:r>
    </w:p>
    <w:p>
      <w:pPr>
        <w:pStyle w:val="ListParagraph"/>
        <w:numPr>
          <w:ilvl w:val="0"/>
          <w:numId w:val="2"/>
        </w:numPr>
      </w:pPr>
      <w:r>
        <w:rPr>
          <w:rFonts w:ascii="Arial" w:cs="Arial" w:eastAsia="Arial" w:hAnsi="Arial"/>
          <w:sz w:val="22"/>
          <w:szCs w:val="22"/>
        </w:rPr>
        <w:t xml:space="preserve">Deterministic: Detect superlatives/absolutes (best, only, cure, 100%, guaranteed, zero risk); detect population/setting keywords absent from the indication text; detect benefit claims without accompanying risk/limitation keywords.</w:t>
      </w:r>
    </w:p>
    <w:p>
      <w:pPr>
        <w:pStyle w:val="ListParagraph"/>
        <w:numPr>
          <w:ilvl w:val="0"/>
          <w:numId w:val="2"/>
        </w:numPr>
      </w:pPr>
      <w:r>
        <w:rPr>
          <w:rFonts w:ascii="Arial" w:cs="Arial" w:eastAsia="Arial" w:hAnsi="Arial"/>
          <w:sz w:val="22"/>
          <w:szCs w:val="22"/>
        </w:rPr>
        <w:t xml:space="preserve">Claude-grounded: For each claim, retrieve relevant snippets from the Product Profile via the in-app RAG layer and prompt Claude: Does the claim go beyond the indication? Conflict with a listed limitation? Violate an explicit promo rule? If yes, which text supports that judgment?</w:t>
      </w:r>
    </w:p>
    <w:p>
      <w:pPr>
        <w:pStyle w:val="Heading3"/>
      </w:pPr>
      <w:r>
        <w:t xml:space="preserve">4.2.4  Security Cross-Reference</w:t>
      </w:r>
    </w:p>
    <w:p>
      <w:pPr>
        <w:spacing w:after="120"/>
      </w:pPr>
      <w:r>
        <w:rPr>
          <w:rFonts w:ascii="Arial" w:cs="Arial" w:eastAsia="Arial" w:hAnsi="Arial"/>
          <w:sz w:val="22"/>
          <w:szCs w:val="22"/>
        </w:rPr>
        <w:t xml:space="preserve">All Claude API calls follow the Security &amp; Data Handling requirements defined in Section 10: HTTPS only, transient in-memory processing (no user content or analysis results persisted in v0, no logging of full payloads), and Claude configured so that prompts and responses are not used for model training (Anthropic zero-data-retention API usage).</w:t>
      </w:r>
    </w:p>
    <w:p>
      <w:pPr>
        <w:pStyle w:val="Heading3"/>
      </w:pPr>
      <w:r>
        <w:t xml:space="preserve">4.2.5  Claim Taxonomy</w:t>
      </w:r>
    </w:p>
    <w:p>
      <w:pPr>
        <w:spacing w:after="120"/>
      </w:pPr>
      <w:r>
        <w:rPr>
          <w:rFonts w:ascii="Arial" w:cs="Arial" w:eastAsia="Arial" w:hAnsi="Arial"/>
          <w:sz w:val="22"/>
          <w:szCs w:val="22"/>
        </w:rPr>
        <w:t xml:space="preserve">Claims are classified into the following medtech-specific types: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Claim Type</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 &amp; Examples</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70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Claims about device efficacy, accuracy, or clinical outcomes. E.g., “Reduces procedure time by 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Procedural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Claims about how the device is used or integrated into workflow. E.g., “Seamless integration with existing catheter systems.”</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Safety</w:t>
            </w:r>
          </w:p>
        </w:tc>
        <w:tc>
          <w:tcPr>
            <w:tcW w:type="dxa" w:w="70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Claims about device safety profile, adverse-event rates, or biocompatibility. E.g., “No device-related SAEs in the pivotal trial.”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Economic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Claims about cost savings, reimbursement, or economic value. E.g., “Reduces average length of stay by 1.2 days.”</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Usability</w:t>
            </w:r>
          </w:p>
        </w:tc>
        <w:tc>
          <w:tcPr>
            <w:tcW w:type="dxa" w:w="70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Claims about ease of use, learning curve, or user satisfaction. E.g., “95% of users rated setup as easy.”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Other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Catch-all for claims that do not fit the above (general marketing language, branding statements, etc.).</w:t>
            </w:r>
          </w:p>
        </w:tc>
      </w:tr>
    </w:tbl>
    <w:p>
      <w:pPr>
        <w:spacing w:after="60"/>
      </w:pPr>
    </w:p>
    <w:p>
      <w:pPr>
        <w:pStyle w:val="Heading3"/>
      </w:pPr>
      <w:r>
        <w:t xml:space="preserve">4.2.6  Issue Taxonomy</w:t>
      </w:r>
    </w:p>
    <w:p>
      <w:pPr>
        <w:spacing w:after="120"/>
      </w:pPr>
      <w:r>
        <w:rPr>
          <w:rFonts w:ascii="Arial" w:cs="Arial" w:eastAsia="Arial" w:hAnsi="Arial"/>
          <w:sz w:val="22"/>
          <w:szCs w:val="22"/>
        </w:rPr>
        <w:t xml:space="preserve">Each claim may be tagged with zero or more of the following issue types: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 Type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Off-label</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Claim references a use, population, or setting outside the cleared indication/IFU.</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Missing risk balance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contains benefit claims but no risk/limitation statement (per promo rule).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Overstated</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Claim uses superlatives, absolutes, or language stronger than the supporting evidence.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Unclear evidence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 implies clinical evidence not substantiated by the referenced study or evidence type.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Rule violation</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Claim directly conflicts with one or more configured promo rules.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 has no identified issues relative to the configured product profile.</w:t>
            </w:r>
          </w:p>
        </w:tc>
      </w:tr>
    </w:tbl>
    <w:p>
      <w:pPr>
        <w:spacing w:after="60"/>
      </w:pPr>
    </w:p>
    <w:p>
      <w:pPr>
        <w:pStyle w:val="Heading3"/>
      </w:pPr>
      <w:r>
        <w:t xml:space="preserve">4.2.7  System Prompt Design &amp; Guardrails</w:t>
      </w:r>
    </w:p>
    <w:p>
      <w:pPr>
        <w:spacing w:after="120"/>
      </w:pPr>
      <w:r>
        <w:rPr>
          <w:rFonts w:ascii="Arial" w:cs="Arial" w:eastAsia="Arial" w:hAnsi="Arial"/>
          <w:sz w:val="22"/>
          <w:szCs w:val="22"/>
        </w:rPr>
        <w:t xml:space="preserve">Each Claude call uses a carefully designed system prompt encoding the behavioral constraints described in Section 6. Key elements:</w:t>
      </w:r>
    </w:p>
    <w:p>
      <w:pPr>
        <w:pStyle w:val="ListParagraph"/>
        <w:numPr>
          <w:ilvl w:val="0"/>
          <w:numId w:val="2"/>
        </w:numPr>
      </w:pPr>
      <w:r>
        <w:rPr>
          <w:rFonts w:ascii="Arial" w:cs="Arial" w:eastAsia="Arial" w:hAnsi="Arial"/>
          <w:sz w:val="22"/>
          <w:szCs w:val="22"/>
        </w:rPr>
        <w:t xml:space="preserve">All outputs must be traceable to Product Profile data. Claude must quote or paraphrase the relevant indication, risk, claim, or rule text.</w:t>
      </w:r>
    </w:p>
    <w:p>
      <w:pPr>
        <w:pStyle w:val="ListParagraph"/>
        <w:numPr>
          <w:ilvl w:val="0"/>
          <w:numId w:val="2"/>
        </w:numPr>
      </w:pPr>
      <w:r>
        <w:rPr>
          <w:rFonts w:ascii="Arial" w:cs="Arial" w:eastAsia="Arial" w:hAnsi="Arial"/>
          <w:sz w:val="22"/>
          <w:szCs w:val="22"/>
        </w:rPr>
        <w:t xml:space="preserve">Claude must never claim comprehensive knowledge of FDA regulations, ISO standards, or any regulatory body’s full requirements.</w:t>
      </w:r>
    </w:p>
    <w:p>
      <w:pPr>
        <w:pStyle w:val="ListParagraph"/>
        <w:numPr>
          <w:ilvl w:val="0"/>
          <w:numId w:val="2"/>
        </w:numPr>
      </w:pPr>
      <w:r>
        <w:rPr>
          <w:rFonts w:ascii="Arial" w:cs="Arial" w:eastAsia="Arial" w:hAnsi="Arial"/>
          <w:sz w:val="22"/>
          <w:szCs w:val="22"/>
        </w:rPr>
        <w:t xml:space="preserve">Every finding must be framed as “a potential issue relative to your configured label and rules,” never a definitive compliance verdict.</w:t>
      </w:r>
    </w:p>
    <w:p>
      <w:pPr>
        <w:pStyle w:val="ListParagraph"/>
        <w:numPr>
          <w:ilvl w:val="0"/>
          <w:numId w:val="2"/>
        </w:numPr>
      </w:pPr>
      <w:r>
        <w:rPr>
          <w:rFonts w:ascii="Arial" w:cs="Arial" w:eastAsia="Arial" w:hAnsi="Arial"/>
          <w:sz w:val="22"/>
          <w:szCs w:val="22"/>
        </w:rPr>
        <w:t xml:space="preserve">New/Unmatched claims require explicit recommendation for human review.</w:t>
      </w:r>
    </w:p>
    <w:p>
      <w:pPr>
        <w:pStyle w:val="ListParagraph"/>
        <w:numPr>
          <w:ilvl w:val="0"/>
          <w:numId w:val="2"/>
        </w:numPr>
      </w:pPr>
      <w:r>
        <w:rPr>
          <w:rFonts w:ascii="Arial" w:cs="Arial" w:eastAsia="Arial" w:hAnsi="Arial"/>
          <w:sz w:val="22"/>
          <w:szCs w:val="22"/>
        </w:rPr>
        <w:t xml:space="preserve">suggestRewording may only modify existing claim text; it must not generate new promotional copy from scratch.</w:t>
      </w:r>
    </w:p>
    <w:p>
      <w:pPr>
        <w:pStyle w:val="ListParagraph"/>
        <w:numPr>
          <w:ilvl w:val="0"/>
          <w:numId w:val="2"/>
        </w:numPr>
      </w:pPr>
      <w:r>
        <w:rPr>
          <w:rFonts w:ascii="Arial" w:cs="Arial" w:eastAsia="Arial" w:hAnsi="Arial"/>
          <w:sz w:val="22"/>
          <w:szCs w:val="22"/>
        </w:rPr>
        <w:t xml:space="preserve">Non-promotional or incoherent input returns a structured “no claims found” response.</w:t>
      </w:r>
    </w:p>
    <w:p>
      <w:pPr>
        <w:pStyle w:val="Heading1"/>
      </w:pPr>
      <w:r>
        <w:t xml:space="preserve">5  Feature: Create Product Profile (Onboarding Wizard)</w:t>
      </w:r>
    </w:p>
    <w:p>
      <w:pPr>
        <w:pStyle w:val="Heading2"/>
      </w:pPr>
      <w:r>
        <w:t xml:space="preserve">5.1  Purpose</w:t>
      </w:r>
    </w:p>
    <w:p>
      <w:pPr>
        <w:spacing w:after="120"/>
      </w:pPr>
      <w:r>
        <w:rPr>
          <w:rFonts w:ascii="Arial" w:cs="Arial" w:eastAsia="Arial" w:hAnsi="Arial"/>
          <w:sz w:val="22"/>
          <w:szCs w:val="22"/>
        </w:rPr>
        <w:t xml:space="preserve">Allow a user (typically RA or senior marketer) to define the device-specific context the reviewer functions will use as ground truth. Target: completable in under five minutes for a typical 510(k) device.</w:t>
      </w:r>
    </w:p>
    <w:p>
      <w:pPr>
        <w:pStyle w:val="Heading2"/>
      </w:pPr>
      <w:r>
        <w:t xml:space="preserve">5.2  Wizard Steps</w:t>
      </w:r>
    </w:p>
    <w:p>
      <w:pPr>
        <w:pStyle w:val="Heading3"/>
      </w:pPr>
      <w:r>
        <w:t xml:space="preserve">Step 1 – Device Basics</w:t>
      </w:r>
    </w:p>
    <w:p>
      <w:pPr>
        <w:pStyle w:val="ListParagraph"/>
        <w:numPr>
          <w:ilvl w:val="0"/>
          <w:numId w:val="2"/>
        </w:numPr>
      </w:pPr>
      <w:r>
        <w:rPr>
          <w:rFonts w:ascii="Arial" w:cs="Arial" w:eastAsia="Arial" w:hAnsi="Arial"/>
          <w:sz w:val="22"/>
          <w:szCs w:val="22"/>
        </w:rPr>
        <w:t xml:space="preserve">Product name (text, required).</w:t>
      </w:r>
    </w:p>
    <w:p>
      <w:pPr>
        <w:pStyle w:val="ListParagraph"/>
        <w:numPr>
          <w:ilvl w:val="0"/>
          <w:numId w:val="2"/>
        </w:numPr>
      </w:pPr>
      <w:r>
        <w:rPr>
          <w:rFonts w:ascii="Arial" w:cs="Arial" w:eastAsia="Arial" w:hAnsi="Arial"/>
          <w:sz w:val="22"/>
          <w:szCs w:val="22"/>
        </w:rPr>
        <w:t xml:space="preserve">Device type (dropdown: Implant, Diagnostic, Monitoring, SaMD, Instrument, Other).</w:t>
      </w:r>
    </w:p>
    <w:p>
      <w:pPr>
        <w:pStyle w:val="ListParagraph"/>
        <w:numPr>
          <w:ilvl w:val="0"/>
          <w:numId w:val="2"/>
        </w:numPr>
      </w:pPr>
      <w:r>
        <w:rPr>
          <w:rFonts w:ascii="Arial" w:cs="Arial" w:eastAsia="Arial" w:hAnsi="Arial"/>
          <w:sz w:val="22"/>
          <w:szCs w:val="22"/>
        </w:rPr>
        <w:t xml:space="preserve">One-liner description (text, ≤ 200 characters).</w:t>
      </w:r>
    </w:p>
    <w:p>
      <w:pPr>
        <w:pStyle w:val="Heading3"/>
      </w:pPr>
      <w:r>
        <w:t xml:space="preserve">Step 2 – Indications &amp; Population</w:t>
      </w:r>
    </w:p>
    <w:p>
      <w:pPr>
        <w:pStyle w:val="ListParagraph"/>
        <w:numPr>
          <w:ilvl w:val="0"/>
          <w:numId w:val="2"/>
        </w:numPr>
      </w:pPr>
      <w:r>
        <w:rPr>
          <w:rFonts w:ascii="Arial" w:cs="Arial" w:eastAsia="Arial" w:hAnsi="Arial"/>
          <w:sz w:val="22"/>
          <w:szCs w:val="22"/>
        </w:rPr>
        <w:t xml:space="preserve">Indications for use (free-text area, ≤ 5,000 characters). User may paste directly from the 510(k) summary, PMA, or De Novo decision.</w:t>
      </w:r>
    </w:p>
    <w:p>
      <w:pPr>
        <w:pStyle w:val="ListParagraph"/>
        <w:numPr>
          <w:ilvl w:val="0"/>
          <w:numId w:val="2"/>
        </w:numPr>
      </w:pPr>
      <w:r>
        <w:rPr>
          <w:rFonts w:ascii="Arial" w:cs="Arial" w:eastAsia="Arial" w:hAnsi="Arial"/>
          <w:sz w:val="22"/>
          <w:szCs w:val="22"/>
        </w:rPr>
        <w:t xml:space="preserve">Typical patient population (optional free text): age range, condition, severity.</w:t>
      </w:r>
    </w:p>
    <w:p>
      <w:pPr>
        <w:pStyle w:val="ListParagraph"/>
        <w:numPr>
          <w:ilvl w:val="0"/>
          <w:numId w:val="2"/>
        </w:numPr>
      </w:pPr>
      <w:r>
        <w:rPr>
          <w:rFonts w:ascii="Arial" w:cs="Arial" w:eastAsia="Arial" w:hAnsi="Arial"/>
          <w:sz w:val="22"/>
          <w:szCs w:val="22"/>
        </w:rPr>
        <w:t xml:space="preserve">Regions (checkboxes: US, EU, Other)—metadata only for MVP; does not trigger region-specific logic.</w:t>
      </w:r>
    </w:p>
    <w:p>
      <w:pPr>
        <w:pStyle w:val="Heading3"/>
      </w:pPr>
      <w:r>
        <w:t xml:space="preserve">Step 3 – Risks &amp; Limitations</w:t>
      </w:r>
    </w:p>
    <w:p>
      <w:pPr>
        <w:pStyle w:val="ListParagraph"/>
        <w:numPr>
          <w:ilvl w:val="0"/>
          <w:numId w:val="2"/>
        </w:numPr>
      </w:pPr>
      <w:r>
        <w:rPr>
          <w:rFonts w:ascii="Arial" w:cs="Arial" w:eastAsia="Arial" w:hAnsi="Arial"/>
          <w:sz w:val="22"/>
          <w:szCs w:val="22"/>
        </w:rPr>
        <w:t xml:space="preserve">Key warnings, precautions, and limitations from the label/IFU (free-text area, ≤ 5,000 characters).</w:t>
      </w:r>
    </w:p>
    <w:p>
      <w:pPr>
        <w:pStyle w:val="Heading3"/>
      </w:pPr>
      <w:r>
        <w:t xml:space="preserve">Step 4 – Core Approved Claims</w:t>
      </w:r>
    </w:p>
    <w:p>
      <w:pPr>
        <w:spacing w:after="120"/>
      </w:pPr>
      <w:r>
        <w:rPr>
          <w:rFonts w:ascii="Arial" w:cs="Arial" w:eastAsia="Arial" w:hAnsi="Arial"/>
          <w:sz w:val="22"/>
          <w:szCs w:val="22"/>
        </w:rPr>
        <w:t xml:space="preserve">A dynamic table with 3–10 rows. Each row:</w:t>
      </w:r>
    </w:p>
    <w:p>
      <w:pPr>
        <w:pStyle w:val="ListParagraph"/>
        <w:numPr>
          <w:ilvl w:val="0"/>
          <w:numId w:val="2"/>
        </w:numPr>
      </w:pPr>
      <w:r>
        <w:rPr>
          <w:rFonts w:ascii="Arial" w:cs="Arial" w:eastAsia="Arial" w:hAnsi="Arial"/>
          <w:sz w:val="22"/>
          <w:szCs w:val="22"/>
        </w:rPr>
        <w:t xml:space="preserve">Claim text (canonical approved wording, required).</w:t>
      </w:r>
    </w:p>
    <w:p>
      <w:pPr>
        <w:pStyle w:val="ListParagraph"/>
        <w:numPr>
          <w:ilvl w:val="0"/>
          <w:numId w:val="2"/>
        </w:numPr>
      </w:pPr>
      <w:r>
        <w:rPr>
          <w:rFonts w:ascii="Arial" w:cs="Arial" w:eastAsia="Arial" w:hAnsi="Arial"/>
          <w:sz w:val="22"/>
          <w:szCs w:val="22"/>
        </w:rPr>
        <w:t xml:space="preserve">Claim type dropdown: Performance, Procedural, Safety, Economic, Usability, Other.</w:t>
      </w:r>
    </w:p>
    <w:p>
      <w:pPr>
        <w:pStyle w:val="ListParagraph"/>
        <w:numPr>
          <w:ilvl w:val="0"/>
          <w:numId w:val="2"/>
        </w:numPr>
      </w:pPr>
      <w:r>
        <w:rPr>
          <w:rFonts w:ascii="Arial" w:cs="Arial" w:eastAsia="Arial" w:hAnsi="Arial"/>
          <w:sz w:val="22"/>
          <w:szCs w:val="22"/>
        </w:rPr>
        <w:t xml:space="preserve">Evidence type dropdown: Bench, Clinical, Human Factors, HEOR, Other.</w:t>
      </w:r>
    </w:p>
    <w:p>
      <w:pPr>
        <w:pStyle w:val="ListParagraph"/>
        <w:numPr>
          <w:ilvl w:val="0"/>
          <w:numId w:val="2"/>
        </w:numPr>
      </w:pPr>
      <w:r>
        <w:rPr>
          <w:rFonts w:ascii="Arial" w:cs="Arial" w:eastAsia="Arial" w:hAnsi="Arial"/>
          <w:sz w:val="22"/>
          <w:szCs w:val="22"/>
        </w:rPr>
        <w:t xml:space="preserve">Reference (free text, e.g., “Smith et al. 2022, N=120”).</w:t>
      </w:r>
    </w:p>
    <w:p>
      <w:pPr>
        <w:pStyle w:val="Heading3"/>
      </w:pPr>
      <w:r>
        <w:t xml:space="preserve">Step 5 – Promotional Rules</w:t>
      </w:r>
    </w:p>
    <w:p>
      <w:pPr>
        <w:spacing w:after="120"/>
      </w:pPr>
      <w:r>
        <w:rPr>
          <w:rFonts w:ascii="Arial" w:cs="Arial" w:eastAsia="Arial" w:hAnsi="Arial"/>
          <w:sz w:val="22"/>
          <w:szCs w:val="22"/>
        </w:rPr>
        <w:t xml:space="preserve">A set of rule statements. The system pre-populates defaults:</w:t>
      </w:r>
    </w:p>
    <w:p>
      <w:pPr>
        <w:pStyle w:val="ListParagraph"/>
        <w:numPr>
          <w:ilvl w:val="0"/>
          <w:numId w:val="2"/>
        </w:numPr>
      </w:pPr>
      <w:r>
        <w:rPr>
          <w:rFonts w:ascii="Arial" w:cs="Arial" w:eastAsia="Arial" w:hAnsi="Arial"/>
          <w:sz w:val="22"/>
          <w:szCs w:val="22"/>
        </w:rPr>
        <w:t xml:space="preserve">“Avoid superlatives and absolutes (best, only, cure, 100%, guaranteed, zero risk, etc.).”</w:t>
      </w:r>
    </w:p>
    <w:p>
      <w:pPr>
        <w:pStyle w:val="ListParagraph"/>
        <w:numPr>
          <w:ilvl w:val="0"/>
          <w:numId w:val="2"/>
        </w:numPr>
      </w:pPr>
      <w:r>
        <w:rPr>
          <w:rFonts w:ascii="Arial" w:cs="Arial" w:eastAsia="Arial" w:hAnsi="Arial"/>
          <w:sz w:val="22"/>
          <w:szCs w:val="22"/>
        </w:rPr>
        <w:t xml:space="preserve">“Do not imply diagnostic use if the device is only cleared for screening or decision-support.”</w:t>
      </w:r>
    </w:p>
    <w:p>
      <w:pPr>
        <w:pStyle w:val="ListParagraph"/>
        <w:numPr>
          <w:ilvl w:val="0"/>
          <w:numId w:val="2"/>
        </w:numPr>
      </w:pPr>
      <w:r>
        <w:rPr>
          <w:rFonts w:ascii="Arial" w:cs="Arial" w:eastAsia="Arial" w:hAnsi="Arial"/>
          <w:sz w:val="22"/>
          <w:szCs w:val="22"/>
        </w:rPr>
        <w:t xml:space="preserve">“Do not reference populations or settings outside the cleared indications.”</w:t>
      </w:r>
    </w:p>
    <w:p>
      <w:pPr>
        <w:pStyle w:val="ListParagraph"/>
        <w:numPr>
          <w:ilvl w:val="0"/>
          <w:numId w:val="2"/>
        </w:numPr>
      </w:pPr>
      <w:r>
        <w:rPr>
          <w:rFonts w:ascii="Arial" w:cs="Arial" w:eastAsia="Arial" w:hAnsi="Arial"/>
          <w:sz w:val="22"/>
          <w:szCs w:val="22"/>
        </w:rPr>
        <w:t xml:space="preserve">“Always include at least one risk/limitation statement in any asset that contains benefit claims.”</w:t>
      </w:r>
    </w:p>
    <w:p>
      <w:pPr>
        <w:spacing w:after="120"/>
      </w:pPr>
      <w:r>
        <w:rPr>
          <w:rFonts w:ascii="Arial" w:cs="Arial" w:eastAsia="Arial" w:hAnsi="Arial"/>
          <w:sz w:val="22"/>
          <w:szCs w:val="22"/>
        </w:rPr>
        <w:t xml:space="preserve">User can edit default text, delete rules, or add custom rules. Each rule ≤ 300 characters.</w:t>
      </w:r>
    </w:p>
    <w:p>
      <w:pPr>
        <w:pStyle w:val="Heading2"/>
      </w:pPr>
      <w:r>
        <w:t xml:space="preserve">5.3  Persistence &amp; RAG Indexing</w:t>
      </w:r>
    </w:p>
    <w:p>
      <w:pPr>
        <w:spacing w:after="120"/>
      </w:pPr>
      <w:r>
        <w:rPr>
          <w:rFonts w:ascii="Arial" w:cs="Arial" w:eastAsia="Arial" w:hAnsi="Arial"/>
          <w:sz w:val="22"/>
          <w:szCs w:val="22"/>
        </w:rPr>
        <w:t xml:space="preserve">On save, the backend:</w:t>
      </w:r>
    </w:p>
    <w:p>
      <w:pPr>
        <w:pStyle w:val="ListParagraph"/>
        <w:numPr>
          <w:ilvl w:val="0"/>
          <w:numId w:val="3"/>
        </w:numPr>
      </w:pPr>
      <w:r>
        <w:rPr>
          <w:rFonts w:ascii="Arial" w:cs="Arial" w:eastAsia="Arial" w:hAnsi="Arial"/>
          <w:sz w:val="22"/>
          <w:szCs w:val="22"/>
        </w:rPr>
        <w:t xml:space="preserve">Stores the Product Profile in its database (Postgres or equivalent) as structured records: ProductProfile, CoreClaim (child rows), PromoRule (child rows). Note: only the Product Profile configuration is persisted; user-pasted analysis content is not stored (see Section 10).</w:t>
      </w:r>
    </w:p>
    <w:p>
      <w:pPr>
        <w:pStyle w:val="ListParagraph"/>
        <w:numPr>
          <w:ilvl w:val="0"/>
          <w:numId w:val="3"/>
        </w:numPr>
      </w:pPr>
      <w:r>
        <w:rPr>
          <w:rFonts w:ascii="Arial" w:cs="Arial" w:eastAsia="Arial" w:hAnsi="Arial"/>
          <w:sz w:val="22"/>
          <w:szCs w:val="22"/>
        </w:rPr>
        <w:t xml:space="preserve">Indexes the profile data into the in-app RAG layer (e.g., generates embeddings for each claim, rule, and IFU paragraph) so that retrieval is fast during analysis.</w:t>
      </w:r>
    </w:p>
    <w:p>
      <w:pPr>
        <w:spacing w:after="120"/>
      </w:pPr>
      <w:r>
        <w:rPr>
          <w:rFonts w:ascii="Arial" w:cs="Arial" w:eastAsia="Arial" w:hAnsi="Arial"/>
          <w:sz w:val="22"/>
          <w:szCs w:val="22"/>
        </w:rPr>
        <w:t xml:space="preserve">If the profile is edited later, the RAG index is rebuilt.</w:t>
      </w:r>
    </w:p>
    <w:p>
      <w:pPr>
        <w:pStyle w:val="Heading1"/>
      </w:pPr>
      <w:r>
        <w:t xml:space="preserve">6  Guardrail Philosophy</w:t>
      </w:r>
    </w:p>
    <w:p>
      <w:pPr>
        <w:spacing w:after="120"/>
      </w:pPr>
      <w:r>
        <w:rPr>
          <w:rFonts w:ascii="Arial" w:cs="Arial" w:eastAsia="Arial" w:hAnsi="Arial"/>
          <w:sz w:val="22"/>
          <w:szCs w:val="22"/>
        </w:rPr>
        <w:t xml:space="preserve">The copilot is a pre-screening aid, not a compliance oracle. The following principles are embedded in every Claude system prompt, tested during QA, and surfaced in the UI.</w:t>
      </w:r>
    </w:p>
    <w:p>
      <w:pPr>
        <w:spacing w:after="60"/>
      </w:pPr>
    </w:p>
    <w:p>
      <w:pPr>
        <w:pStyle w:val="ListParagraph"/>
        <w:numPr>
          <w:ilvl w:val="0"/>
          <w:numId w:val="3"/>
        </w:numPr>
      </w:pPr>
      <w:r>
        <w:rPr>
          <w:rFonts w:ascii="Arial" w:cs="Arial" w:eastAsia="Arial" w:hAnsi="Arial"/>
          <w:sz w:val="22"/>
          <w:szCs w:val="22"/>
        </w:rPr>
        <w:t xml:space="preserve">Strictly grounded: Claude reasons only from the configured product’s indications/IFU, risks and limitations, core claims, and promo rules (all retrieved via the in-app RAG layer). It may additionally reference a small, curated set of generic guidance excerpts we ship, but this is optional and not a full regulatory database.</w:t>
      </w:r>
    </w:p>
    <w:p>
      <w:pPr>
        <w:pStyle w:val="ListParagraph"/>
        <w:numPr>
          <w:ilvl w:val="0"/>
          <w:numId w:val="3"/>
        </w:numPr>
      </w:pPr>
      <w:r>
        <w:rPr>
          <w:rFonts w:ascii="Arial" w:cs="Arial" w:eastAsia="Arial" w:hAnsi="Arial"/>
          <w:sz w:val="22"/>
          <w:szCs w:val="22"/>
        </w:rPr>
        <w:t xml:space="preserve">No regulatory-authority impersonation: Claude must not claim to know or enforce “all FDA regulations” or any body’s complete rules.</w:t>
      </w:r>
    </w:p>
    <w:p>
      <w:pPr>
        <w:pStyle w:val="ListParagraph"/>
        <w:numPr>
          <w:ilvl w:val="0"/>
          <w:numId w:val="3"/>
        </w:numPr>
      </w:pPr>
      <w:r>
        <w:rPr>
          <w:rFonts w:ascii="Arial" w:cs="Arial" w:eastAsia="Arial" w:hAnsi="Arial"/>
          <w:sz w:val="22"/>
          <w:szCs w:val="22"/>
        </w:rPr>
        <w:t xml:space="preserve">Scoped disclaimers: Outputs and UI include: “These findings are potential issues relative to your configured label and rules. They do not constitute legal or regulatory advice.”</w:t>
      </w:r>
    </w:p>
    <w:p>
      <w:pPr>
        <w:pStyle w:val="ListParagraph"/>
        <w:numPr>
          <w:ilvl w:val="0"/>
          <w:numId w:val="3"/>
        </w:numPr>
      </w:pPr>
      <w:r>
        <w:rPr>
          <w:rFonts w:ascii="Arial" w:cs="Arial" w:eastAsia="Arial" w:hAnsi="Arial"/>
          <w:sz w:val="22"/>
          <w:szCs w:val="22"/>
        </w:rPr>
        <w:t xml:space="preserve">Transparent uncertainty: Low-confidence outputs explicitly recommend human review.</w:t>
      </w:r>
    </w:p>
    <w:p>
      <w:pPr>
        <w:pStyle w:val="ListParagraph"/>
        <w:numPr>
          <w:ilvl w:val="0"/>
          <w:numId w:val="3"/>
        </w:numPr>
      </w:pPr>
      <w:r>
        <w:rPr>
          <w:rFonts w:ascii="Arial" w:cs="Arial" w:eastAsia="Arial" w:hAnsi="Arial"/>
          <w:sz w:val="22"/>
          <w:szCs w:val="22"/>
        </w:rPr>
        <w:t xml:space="preserve">No autonomous approval: The system never says “this content is compliant.” Absence of flags does not equal approval; the UI states this.</w:t>
      </w:r>
    </w:p>
    <w:p>
      <w:pPr>
        <w:pStyle w:val="ListParagraph"/>
        <w:numPr>
          <w:ilvl w:val="0"/>
          <w:numId w:val="3"/>
        </w:numPr>
      </w:pPr>
      <w:r>
        <w:rPr>
          <w:rFonts w:ascii="Arial" w:cs="Arial" w:eastAsia="Arial" w:hAnsi="Arial"/>
          <w:sz w:val="22"/>
          <w:szCs w:val="22"/>
        </w:rPr>
        <w:t xml:space="preserve">Conservative suggestions: suggestRewording only proposes modifications grounded in approved claims or label language.</w:t>
      </w:r>
    </w:p>
    <w:p>
      <w:pPr>
        <w:pStyle w:val="Heading1"/>
      </w:pPr>
      <w:r>
        <w:t xml:space="preserve">7  Feature: Analyze Content (Core MVP Flow)</w:t>
      </w:r>
    </w:p>
    <w:p>
      <w:pPr>
        <w:pStyle w:val="Heading2"/>
      </w:pPr>
      <w:r>
        <w:t xml:space="preserve">7.1  Inputs</w:t>
      </w:r>
    </w:p>
    <w:p>
      <w:pPr>
        <w:pStyle w:val="ListParagraph"/>
        <w:numPr>
          <w:ilvl w:val="0"/>
          <w:numId w:val="2"/>
        </w:numPr>
      </w:pPr>
      <w:r>
        <w:rPr>
          <w:rFonts w:ascii="Arial" w:cs="Arial" w:eastAsia="Arial" w:hAnsi="Arial"/>
          <w:sz w:val="22"/>
          <w:szCs w:val="22"/>
        </w:rPr>
        <w:t xml:space="preserve">Product (dropdown of existing Product Profiles).</w:t>
      </w:r>
    </w:p>
    <w:p>
      <w:pPr>
        <w:pStyle w:val="ListParagraph"/>
        <w:numPr>
          <w:ilvl w:val="0"/>
          <w:numId w:val="2"/>
        </w:numPr>
      </w:pPr>
      <w:r>
        <w:rPr>
          <w:rFonts w:ascii="Arial" w:cs="Arial" w:eastAsia="Arial" w:hAnsi="Arial"/>
          <w:sz w:val="22"/>
          <w:szCs w:val="22"/>
        </w:rPr>
        <w:t xml:space="preserve">Asset name (free text, e.g., “Drip Email 1 v1”).</w:t>
      </w:r>
    </w:p>
    <w:p>
      <w:pPr>
        <w:pStyle w:val="ListParagraph"/>
        <w:numPr>
          <w:ilvl w:val="0"/>
          <w:numId w:val="2"/>
        </w:numPr>
      </w:pPr>
      <w:r>
        <w:rPr>
          <w:rFonts w:ascii="Arial" w:cs="Arial" w:eastAsia="Arial" w:hAnsi="Arial"/>
          <w:sz w:val="22"/>
          <w:szCs w:val="22"/>
        </w:rPr>
        <w:t xml:space="preserve">Channel (dropdown: Email, Web, Slide, Other)—metadata for future use.</w:t>
      </w:r>
    </w:p>
    <w:p>
      <w:pPr>
        <w:pStyle w:val="ListParagraph"/>
        <w:numPr>
          <w:ilvl w:val="0"/>
          <w:numId w:val="2"/>
        </w:numPr>
      </w:pPr>
      <w:r>
        <w:rPr>
          <w:rFonts w:ascii="Arial" w:cs="Arial" w:eastAsia="Arial" w:hAnsi="Arial"/>
          <w:sz w:val="22"/>
          <w:szCs w:val="22"/>
        </w:rPr>
        <w:t xml:space="preserve">Current content (large text area, plain text, ≤ 10,000 characters).</w:t>
      </w:r>
    </w:p>
    <w:p>
      <w:pPr>
        <w:pStyle w:val="ListParagraph"/>
        <w:numPr>
          <w:ilvl w:val="0"/>
          <w:numId w:val="2"/>
        </w:numPr>
      </w:pPr>
      <w:r>
        <w:rPr>
          <w:rFonts w:ascii="Arial" w:cs="Arial" w:eastAsia="Arial" w:hAnsi="Arial"/>
          <w:sz w:val="22"/>
          <w:szCs w:val="22"/>
        </w:rPr>
        <w:t xml:space="preserve">Previous content (optional second text area)—prior version for claim-level diffing.</w:t>
      </w:r>
    </w:p>
    <w:p>
      <w:pPr>
        <w:pStyle w:val="Heading2"/>
      </w:pPr>
      <w:r>
        <w:t xml:space="preserve">7.2  Processing: Backend Orchestration</w:t>
      </w:r>
    </w:p>
    <w:p>
      <w:pPr>
        <w:spacing w:after="120"/>
      </w:pPr>
      <w:r>
        <w:rPr>
          <w:rFonts w:ascii="Arial" w:cs="Arial" w:eastAsia="Arial" w:hAnsi="Arial"/>
          <w:sz w:val="22"/>
          <w:szCs w:val="22"/>
        </w:rPr>
        <w:t xml:space="preserve">The backend’s /analyze endpoint loads the Product Profile, then sequences four functions via direct Claude API calls and deterministic logic:</w:t>
      </w:r>
    </w:p>
    <w:p>
      <w:pPr>
        <w:spacing w:after="60"/>
      </w:pPr>
    </w:p>
    <w:p>
      <w:pPr>
        <w:pStyle w:val="ListParagraph"/>
        <w:numPr>
          <w:ilvl w:val="0"/>
          <w:numId w:val="3"/>
        </w:numPr>
      </w:pPr>
      <w:r>
        <w:rPr>
          <w:rFonts w:ascii="Arial" w:cs="Arial" w:eastAsia="Arial" w:hAnsi="Arial"/>
          <w:sz w:val="22"/>
          <w:szCs w:val="22"/>
        </w:rPr>
        <w:t xml:space="preserve">extractClaims – Calls Claude with the content and a prompt instructing it to identify device claims, classify by type, and return char offsets. Output: ordered list of claim objects.</w:t>
      </w:r>
    </w:p>
    <w:p>
      <w:pPr>
        <w:pStyle w:val="ListParagraph"/>
        <w:numPr>
          <w:ilvl w:val="0"/>
          <w:numId w:val="3"/>
        </w:numPr>
      </w:pPr>
      <w:r>
        <w:rPr>
          <w:rFonts w:ascii="Arial" w:cs="Arial" w:eastAsia="Arial" w:hAnsi="Arial"/>
          <w:sz w:val="22"/>
          <w:szCs w:val="22"/>
        </w:rPr>
        <w:t xml:space="preserve">matchToLibrary – For each extracted claim, uses the in-app RAG layer to retrieve the most similar core claims from the Product Profile. Computes similarity scores and assigns match status (Approved Match / Variant / New).</w:t>
      </w:r>
    </w:p>
    <w:p>
      <w:pPr>
        <w:pStyle w:val="ListParagraph"/>
        <w:numPr>
          <w:ilvl w:val="0"/>
          <w:numId w:val="3"/>
        </w:numPr>
      </w:pPr>
      <w:r>
        <w:rPr>
          <w:rFonts w:ascii="Arial" w:cs="Arial" w:eastAsia="Arial" w:hAnsi="Arial"/>
          <w:sz w:val="22"/>
          <w:szCs w:val="22"/>
        </w:rPr>
        <w:t xml:space="preserve">checkRulesAndLabel – Runs deterministic sub-checks (superlatives, population keywords, risk-balance) and then calls Claude with each claim plus retrieved IFU, risk, and rule snippets. Claude produces per-claim issues with types, explanations, and label/rule excerpts.</w:t>
      </w:r>
    </w:p>
    <w:p>
      <w:pPr>
        <w:pStyle w:val="ListParagraph"/>
        <w:numPr>
          <w:ilvl w:val="0"/>
          <w:numId w:val="3"/>
        </w:numPr>
      </w:pPr>
      <w:r>
        <w:rPr>
          <w:rFonts w:ascii="Arial" w:cs="Arial" w:eastAsia="Arial" w:hAnsi="Arial"/>
          <w:sz w:val="22"/>
          <w:szCs w:val="22"/>
        </w:rPr>
        <w:t xml:space="preserve">suggestRewording – For flagged claims, calls Claude with the claim, its issues, any matched core claim, and relevant label context. Returns conservative alternative wording with an explanatory note.</w:t>
      </w:r>
    </w:p>
    <w:p>
      <w:pPr>
        <w:spacing w:after="60"/>
      </w:pPr>
    </w:p>
    <w:p>
      <w:pPr>
        <w:spacing w:after="120"/>
      </w:pPr>
      <w:r>
        <w:rPr>
          <w:rFonts w:ascii="Arial" w:cs="Arial" w:eastAsia="Arial" w:hAnsi="Arial"/>
          <w:sz w:val="22"/>
          <w:szCs w:val="22"/>
        </w:rPr>
        <w:t xml:space="preserve">If previous content was provided, the backend additionally performs claim-level diffing: extracts claims from the previous text using the same extractClaims function, compares old vs. new claim sets using similarity, and classifies changes as Added, Removed, or Modified.</w:t>
      </w:r>
    </w:p>
    <w:p>
      <w:pPr>
        <w:spacing w:after="120"/>
      </w:pPr>
      <w:r>
        <w:rPr>
          <w:rFonts w:ascii="Arial" w:cs="Arial" w:eastAsia="Arial" w:hAnsi="Arial"/>
          <w:sz w:val="22"/>
          <w:szCs w:val="22"/>
        </w:rPr>
        <w:t xml:space="preserve">The entire pipeline returns a single structured JSON response to the frontend. After the response is sent, the request payload (pasted content, analysis results) is discarded from memory. No raw content or analysis results are persisted in v0.</w:t>
      </w:r>
    </w:p>
    <w:p>
      <w:pPr>
        <w:pStyle w:val="Heading2"/>
      </w:pPr>
      <w:r>
        <w:t xml:space="preserve">7.3  Output Schema</w:t>
      </w:r>
    </w:p>
    <w:p>
      <w:pPr>
        <w:spacing w:after="120"/>
      </w:pPr>
      <w:r>
        <w:rPr>
          <w:rFonts w:ascii="Arial" w:cs="Arial" w:eastAsia="Arial" w:hAnsi="Arial"/>
          <w:sz w:val="22"/>
          <w:szCs w:val="22"/>
        </w:rPr>
        <w:t xml:space="preserve">The backend returns structured JSON parsed into:</w:t>
      </w:r>
    </w:p>
    <w:p>
      <w:pPr>
        <w:spacing w:after="60"/>
      </w:pP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total_claims, approved_count, variant_count, new_count, ok_count, caution_count, high_risk_count, issues_by_type.</w:t>
      </w:r>
    </w:p>
    <w:p>
      <w:pPr>
        <w:spacing w:after="60"/>
      </w:pPr>
    </w:p>
    <w:p>
      <w:pPr>
        <w:spacing w:after="120"/>
      </w:pPr>
      <w:r>
        <w:rPr>
          <w:rFonts w:ascii="Arial" w:cs="Arial" w:eastAsia="Arial" w:hAnsi="Arial"/>
          <w:b/>
          <w:bCs/>
          <w:sz w:val="22"/>
          <w:szCs w:val="22"/>
        </w:rPr>
        <w:t xml:space="preserve">claims: </w:t>
      </w:r>
      <w:r>
        <w:rPr>
          <w:rFonts w:ascii="Arial" w:cs="Arial" w:eastAsia="Arial" w:hAnsi="Arial"/>
          <w:sz w:val="22"/>
          <w:szCs w:val="22"/>
        </w:rPr>
        <w:t xml:space="preserve">Array of claim objects:</w:t>
      </w:r>
    </w:p>
    <w:p>
      <w:pPr>
        <w:pStyle w:val="ListParagraph"/>
        <w:numPr>
          <w:ilvl w:val="1"/>
          <w:numId w:val="2"/>
        </w:numPr>
      </w:pPr>
      <w:r>
        <w:rPr>
          <w:rFonts w:ascii="Arial" w:cs="Arial" w:eastAsia="Arial" w:hAnsi="Arial"/>
          <w:sz w:val="22"/>
          <w:szCs w:val="22"/>
        </w:rPr>
        <w:t xml:space="preserve">id, extracted_text, char_start, char_end, claim_type.</w:t>
      </w:r>
    </w:p>
    <w:p>
      <w:pPr>
        <w:pStyle w:val="ListParagraph"/>
        <w:numPr>
          <w:ilvl w:val="1"/>
          <w:numId w:val="2"/>
        </w:numPr>
      </w:pPr>
      <w:r>
        <w:rPr>
          <w:rFonts w:ascii="Arial" w:cs="Arial" w:eastAsia="Arial" w:hAnsi="Arial"/>
          <w:sz w:val="22"/>
          <w:szCs w:val="22"/>
        </w:rPr>
        <w:t xml:space="preserve">match_status (Approved Match / Variant / New), matched_core_claim_id, similarity_score.</w:t>
      </w:r>
    </w:p>
    <w:p>
      <w:pPr>
        <w:pStyle w:val="ListParagraph"/>
        <w:numPr>
          <w:ilvl w:val="1"/>
          <w:numId w:val="2"/>
        </w:numPr>
      </w:pPr>
      <w:r>
        <w:rPr>
          <w:rFonts w:ascii="Arial" w:cs="Arial" w:eastAsia="Arial" w:hAnsi="Arial"/>
          <w:sz w:val="22"/>
          <w:szCs w:val="22"/>
        </w:rPr>
        <w:t xml:space="preserve">deterministic_flags (array, e.g., superlative_detected, population_outside_indication).</w:t>
      </w:r>
    </w:p>
    <w:p>
      <w:pPr>
        <w:pStyle w:val="ListParagraph"/>
        <w:numPr>
          <w:ilvl w:val="1"/>
          <w:numId w:val="2"/>
        </w:numPr>
      </w:pPr>
      <w:r>
        <w:rPr>
          <w:rFonts w:ascii="Arial" w:cs="Arial" w:eastAsia="Arial" w:hAnsi="Arial"/>
          <w:sz w:val="22"/>
          <w:szCs w:val="22"/>
        </w:rPr>
        <w:t xml:space="preserve">issues (array): issue_type, severity (low/medium/high), explanation, label_or_rule_excerpt.</w:t>
      </w:r>
    </w:p>
    <w:p>
      <w:pPr>
        <w:pStyle w:val="ListParagraph"/>
        <w:numPr>
          <w:ilvl w:val="1"/>
          <w:numId w:val="2"/>
        </w:numPr>
      </w:pPr>
      <w:r>
        <w:rPr>
          <w:rFonts w:ascii="Arial" w:cs="Arial" w:eastAsia="Arial" w:hAnsi="Arial"/>
          <w:sz w:val="22"/>
          <w:szCs w:val="22"/>
        </w:rPr>
        <w:t xml:space="preserve">risk_level (OK / Caution / High Risk).</w:t>
      </w:r>
    </w:p>
    <w:p>
      <w:pPr>
        <w:pStyle w:val="ListParagraph"/>
        <w:numPr>
          <w:ilvl w:val="1"/>
          <w:numId w:val="2"/>
        </w:numPr>
      </w:pPr>
      <w:r>
        <w:rPr>
          <w:rFonts w:ascii="Arial" w:cs="Arial" w:eastAsia="Arial" w:hAnsi="Arial"/>
          <w:sz w:val="22"/>
          <w:szCs w:val="22"/>
        </w:rPr>
        <w:t xml:space="preserve">suggested_wording (nullable), suggestion_note (nullable one-liner).</w:t>
      </w:r>
    </w:p>
    <w:p>
      <w:pPr>
        <w:spacing w:after="60"/>
      </w:pPr>
    </w:p>
    <w:p>
      <w:pPr>
        <w:spacing w:after="120"/>
      </w:pPr>
      <w:r>
        <w:rPr>
          <w:rFonts w:ascii="Arial" w:cs="Arial" w:eastAsia="Arial" w:hAnsi="Arial"/>
          <w:b/>
          <w:bCs/>
          <w:sz w:val="22"/>
          <w:szCs w:val="22"/>
        </w:rPr>
        <w:t xml:space="preserve">diff </w:t>
      </w:r>
      <w:r>
        <w:rPr>
          <w:rFonts w:ascii="Arial" w:cs="Arial" w:eastAsia="Arial" w:hAnsi="Arial"/>
          <w:sz w:val="22"/>
          <w:szCs w:val="22"/>
        </w:rPr>
        <w:t xml:space="preserve">(if previous content provided): summary_text, changes array (old_text, new_text, change_type).</w:t>
      </w:r>
    </w:p>
    <w:p>
      <w:pPr>
        <w:spacing w:after="60"/>
      </w:pPr>
    </w:p>
    <w:p>
      <w:pPr>
        <w:spacing w:after="120"/>
      </w:pPr>
      <w:r>
        <w:rPr>
          <w:rFonts w:ascii="Arial" w:cs="Arial" w:eastAsia="Arial" w:hAnsi="Arial"/>
          <w:b/>
          <w:bCs/>
          <w:sz w:val="22"/>
          <w:szCs w:val="22"/>
        </w:rPr>
        <w:t xml:space="preserve">meta: </w:t>
      </w:r>
      <w:r>
        <w:rPr>
          <w:rFonts w:ascii="Arial" w:cs="Arial" w:eastAsia="Arial" w:hAnsi="Arial"/>
          <w:sz w:val="22"/>
          <w:szCs w:val="22"/>
        </w:rPr>
        <w:t xml:space="preserve">model_version, analysis_timestamp, product_profile_version.</w:t>
      </w:r>
    </w:p>
    <w:p>
      <w:pPr>
        <w:pStyle w:val="Heading1"/>
      </w:pPr>
      <w:r>
        <w:t xml:space="preserve">8  UI/UX Requirements (Copli-Style)</w:t>
      </w:r>
    </w:p>
    <w:p>
      <w:pPr>
        <w:pStyle w:val="Heading2"/>
      </w:pPr>
      <w:r>
        <w:t xml:space="preserve">8.1  Three-Column Analysis Layout</w:t>
      </w:r>
    </w:p>
    <w:p>
      <w:pPr>
        <w:spacing w:after="60"/>
      </w:pPr>
    </w:p>
    <w:p>
      <w:pPr>
        <w:spacing w:after="120"/>
      </w:pPr>
      <w:r>
        <w:rPr>
          <w:rFonts w:ascii="Arial" w:cs="Arial" w:eastAsia="Arial" w:hAnsi="Arial"/>
          <w:b/>
          <w:bCs/>
          <w:sz w:val="22"/>
          <w:szCs w:val="22"/>
        </w:rPr>
        <w:t xml:space="preserve">Left Panel – Findings List / Navigation</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Tabs: “Findings” (default); optionally “All Claims” in future.</w:t>
      </w:r>
    </w:p>
    <w:p>
      <w:pPr>
        <w:pStyle w:val="ListParagraph"/>
        <w:numPr>
          <w:ilvl w:val="0"/>
          <w:numId w:val="2"/>
        </w:numPr>
      </w:pPr>
      <w:r>
        <w:rPr>
          <w:rFonts w:ascii="Arial" w:cs="Arial" w:eastAsia="Arial" w:hAnsi="Arial"/>
          <w:sz w:val="22"/>
          <w:szCs w:val="22"/>
        </w:rPr>
        <w:t xml:space="preserve">One row per claim with issues, grouped by approximate section position.</w:t>
      </w:r>
    </w:p>
    <w:p>
      <w:pPr>
        <w:pStyle w:val="ListParagraph"/>
        <w:numPr>
          <w:ilvl w:val="0"/>
          <w:numId w:val="2"/>
        </w:numPr>
      </w:pPr>
      <w:r>
        <w:rPr>
          <w:rFonts w:ascii="Arial" w:cs="Arial" w:eastAsia="Arial" w:hAnsi="Arial"/>
          <w:sz w:val="22"/>
          <w:szCs w:val="22"/>
        </w:rPr>
        <w:t xml:space="preserve">Each row: color-coded risk dot (green = OK, amber = Caution, red = High Risk) + short claim snippet.</w:t>
      </w:r>
    </w:p>
    <w:p>
      <w:pPr>
        <w:pStyle w:val="ListParagraph"/>
        <w:numPr>
          <w:ilvl w:val="0"/>
          <w:numId w:val="2"/>
        </w:numPr>
      </w:pPr>
      <w:r>
        <w:rPr>
          <w:rFonts w:ascii="Arial" w:cs="Arial" w:eastAsia="Arial" w:hAnsi="Arial"/>
          <w:sz w:val="22"/>
          <w:szCs w:val="22"/>
        </w:rPr>
        <w:t xml:space="preserve">Clicking a row scrolls center viewer to that span and selects it.</w:t>
      </w:r>
    </w:p>
    <w:p>
      <w:pPr>
        <w:pStyle w:val="ListParagraph"/>
        <w:numPr>
          <w:ilvl w:val="0"/>
          <w:numId w:val="2"/>
        </w:numPr>
      </w:pPr>
      <w:r>
        <w:rPr>
          <w:rFonts w:ascii="Arial" w:cs="Arial" w:eastAsia="Arial" w:hAnsi="Arial"/>
          <w:sz w:val="22"/>
          <w:szCs w:val="22"/>
        </w:rPr>
        <w:t xml:space="preserve">Optional filter: All / Risky Only.</w:t>
      </w:r>
    </w:p>
    <w:p>
      <w:pPr>
        <w:spacing w:after="60"/>
      </w:pPr>
    </w:p>
    <w:p>
      <w:pPr>
        <w:spacing w:after="120"/>
      </w:pPr>
      <w:r>
        <w:rPr>
          <w:rFonts w:ascii="Arial" w:cs="Arial" w:eastAsia="Arial" w:hAnsi="Arial"/>
          <w:b/>
          <w:bCs/>
          <w:sz w:val="22"/>
          <w:szCs w:val="22"/>
        </w:rPr>
        <w:t xml:space="preserve">Center Panel – Content Viewer</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Full submitted text in a clean, readable area.</w:t>
      </w:r>
    </w:p>
    <w:p>
      <w:pPr>
        <w:pStyle w:val="ListParagraph"/>
        <w:numPr>
          <w:ilvl w:val="0"/>
          <w:numId w:val="2"/>
        </w:numPr>
      </w:pPr>
      <w:r>
        <w:rPr>
          <w:rFonts w:ascii="Arial" w:cs="Arial" w:eastAsia="Arial" w:hAnsi="Arial"/>
          <w:sz w:val="22"/>
          <w:szCs w:val="22"/>
        </w:rPr>
        <w:t xml:space="preserve">Claim spans highlighted by match status: green = Approved Match, yellow = Variant, red = New/flagged.</w:t>
      </w:r>
    </w:p>
    <w:p>
      <w:pPr>
        <w:pStyle w:val="ListParagraph"/>
        <w:numPr>
          <w:ilvl w:val="0"/>
          <w:numId w:val="2"/>
        </w:numPr>
      </w:pPr>
      <w:r>
        <w:rPr>
          <w:rFonts w:ascii="Arial" w:cs="Arial" w:eastAsia="Arial" w:hAnsi="Arial"/>
          <w:sz w:val="22"/>
          <w:szCs w:val="22"/>
        </w:rPr>
        <w:t xml:space="preserve">Selected claim has heavier highlight or glow (Copli-style focus bar).</w:t>
      </w:r>
    </w:p>
    <w:p>
      <w:pPr>
        <w:pStyle w:val="ListParagraph"/>
        <w:numPr>
          <w:ilvl w:val="0"/>
          <w:numId w:val="2"/>
        </w:numPr>
      </w:pPr>
      <w:r>
        <w:rPr>
          <w:rFonts w:ascii="Arial" w:cs="Arial" w:eastAsia="Arial" w:hAnsi="Arial"/>
          <w:sz w:val="22"/>
          <w:szCs w:val="22"/>
        </w:rPr>
        <w:t xml:space="preserve">Styled text component with inline span highlights; no pagination for MVP.</w:t>
      </w:r>
    </w:p>
    <w:p>
      <w:pPr>
        <w:pStyle w:val="ListParagraph"/>
        <w:numPr>
          <w:ilvl w:val="0"/>
          <w:numId w:val="2"/>
        </w:numPr>
      </w:pPr>
      <w:r>
        <w:rPr>
          <w:rFonts w:ascii="Arial" w:cs="Arial" w:eastAsia="Arial" w:hAnsi="Arial"/>
          <w:sz w:val="22"/>
          <w:szCs w:val="22"/>
        </w:rPr>
        <w:t xml:space="preserve">Optional toggle to show/hide highlights.</w:t>
      </w:r>
    </w:p>
    <w:p>
      <w:pPr>
        <w:spacing w:after="60"/>
      </w:pPr>
    </w:p>
    <w:p>
      <w:pPr>
        <w:spacing w:after="120"/>
      </w:pPr>
      <w:r>
        <w:rPr>
          <w:rFonts w:ascii="Arial" w:cs="Arial" w:eastAsia="Arial" w:hAnsi="Arial"/>
          <w:b/>
          <w:bCs/>
          <w:sz w:val="22"/>
          <w:szCs w:val="22"/>
        </w:rPr>
        <w:t xml:space="preserve">Right Panel – Summary &amp; Claim Detail</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Document Summary card at top: “7 claims · 3 approved · 2 variants · 2 new · 4 with issues.”</w:t>
      </w:r>
    </w:p>
    <w:p>
      <w:pPr>
        <w:pStyle w:val="ListParagraph"/>
        <w:numPr>
          <w:ilvl w:val="0"/>
          <w:numId w:val="2"/>
        </w:numPr>
      </w:pPr>
      <w:r>
        <w:rPr>
          <w:rFonts w:ascii="Arial" w:cs="Arial" w:eastAsia="Arial" w:hAnsi="Arial"/>
          <w:sz w:val="22"/>
          <w:szCs w:val="22"/>
        </w:rPr>
        <w:t xml:space="preserve">Finding Detail card (selected claim):</w:t>
      </w:r>
    </w:p>
    <w:p>
      <w:pPr>
        <w:pStyle w:val="ListParagraph"/>
        <w:numPr>
          <w:ilvl w:val="1"/>
          <w:numId w:val="2"/>
        </w:numPr>
      </w:pPr>
      <w:r>
        <w:rPr>
          <w:rFonts w:ascii="Arial" w:cs="Arial" w:eastAsia="Arial" w:hAnsi="Arial"/>
          <w:sz w:val="22"/>
          <w:szCs w:val="22"/>
        </w:rPr>
        <w:t xml:space="preserve">Risk badge (Low / Medium / High).</w:t>
      </w:r>
    </w:p>
    <w:p>
      <w:pPr>
        <w:pStyle w:val="ListParagraph"/>
        <w:numPr>
          <w:ilvl w:val="1"/>
          <w:numId w:val="2"/>
        </w:numPr>
      </w:pPr>
      <w:r>
        <w:rPr>
          <w:rFonts w:ascii="Arial" w:cs="Arial" w:eastAsia="Arial" w:hAnsi="Arial"/>
          <w:sz w:val="22"/>
          <w:szCs w:val="22"/>
        </w:rPr>
        <w:t xml:space="preserve">Full claim text.</w:t>
      </w:r>
    </w:p>
    <w:p>
      <w:pPr>
        <w:pStyle w:val="ListParagraph"/>
        <w:numPr>
          <w:ilvl w:val="1"/>
          <w:numId w:val="2"/>
        </w:numPr>
      </w:pPr>
      <w:r>
        <w:rPr>
          <w:rFonts w:ascii="Arial" w:cs="Arial" w:eastAsia="Arial" w:hAnsi="Arial"/>
          <w:sz w:val="22"/>
          <w:szCs w:val="22"/>
        </w:rPr>
        <w:t xml:space="preserve">Issue badges (off-label, missing risk balance, etc.).</w:t>
      </w:r>
    </w:p>
    <w:p>
      <w:pPr>
        <w:pStyle w:val="ListParagraph"/>
        <w:numPr>
          <w:ilvl w:val="1"/>
          <w:numId w:val="2"/>
        </w:numPr>
      </w:pPr>
      <w:r>
        <w:rPr>
          <w:rFonts w:ascii="Arial" w:cs="Arial" w:eastAsia="Arial" w:hAnsi="Arial"/>
          <w:sz w:val="22"/>
          <w:szCs w:val="22"/>
        </w:rPr>
        <w:t xml:space="preserve">Short explanation (1–3 lines) referencing label/rule text.</w:t>
      </w:r>
    </w:p>
    <w:p>
      <w:pPr>
        <w:pStyle w:val="ListParagraph"/>
        <w:numPr>
          <w:ilvl w:val="1"/>
          <w:numId w:val="2"/>
        </w:numPr>
      </w:pPr>
      <w:r>
        <w:rPr>
          <w:rFonts w:ascii="Arial" w:cs="Arial" w:eastAsia="Arial" w:hAnsi="Arial"/>
          <w:sz w:val="22"/>
          <w:szCs w:val="22"/>
        </w:rPr>
        <w:t xml:space="preserve">Suggested safer wording with Copy button.</w:t>
      </w:r>
    </w:p>
    <w:p>
      <w:pPr>
        <w:pStyle w:val="ListParagraph"/>
        <w:numPr>
          <w:ilvl w:val="1"/>
          <w:numId w:val="2"/>
        </w:numPr>
      </w:pPr>
      <w:r>
        <w:rPr>
          <w:rFonts w:ascii="Arial" w:cs="Arial" w:eastAsia="Arial" w:hAnsi="Arial"/>
          <w:sz w:val="22"/>
          <w:szCs w:val="22"/>
        </w:rPr>
        <w:t xml:space="preserve">Sources area: chips for matched core claim and label/rule excerpts.</w:t>
      </w:r>
    </w:p>
    <w:p>
      <w:pPr>
        <w:pStyle w:val="Heading2"/>
      </w:pPr>
      <w:r>
        <w:t xml:space="preserve">8.2  Summary Bar</w:t>
      </w:r>
    </w:p>
    <w:p>
      <w:pPr>
        <w:spacing w:after="120"/>
      </w:pPr>
      <w:r>
        <w:rPr>
          <w:rFonts w:ascii="Arial" w:cs="Arial" w:eastAsia="Arial" w:hAnsi="Arial"/>
          <w:sz w:val="22"/>
          <w:szCs w:val="22"/>
        </w:rPr>
        <w:t xml:space="preserve">Above the three columns, aggregate counts and risk distribution as color-coded badges or a small bar chart.</w:t>
      </w:r>
    </w:p>
    <w:p>
      <w:pPr>
        <w:pStyle w:val="Heading2"/>
      </w:pPr>
      <w:r>
        <w:t xml:space="preserve">8.3  Beta Banner (Required)</w:t>
      </w:r>
    </w:p>
    <w:p>
      <w:pPr>
        <w:spacing w:after="120"/>
      </w:pPr>
      <w:r>
        <w:rPr>
          <w:rFonts w:ascii="Arial" w:cs="Arial" w:eastAsia="Arial" w:hAnsi="Arial"/>
          <w:sz w:val="22"/>
          <w:szCs w:val="22"/>
        </w:rPr>
        <w:t xml:space="preserve">The UI must display a persistent, non-dismissible banner at the top of every screen with the following text (or very close to it):</w:t>
      </w:r>
    </w:p>
    <w:p>
      <w:pPr>
        <w:spacing w:after="60"/>
      </w:pPr>
    </w:p>
    <w:p>
      <w:pPr>
        <w:shd w:fill="FFF3E0" w:val="clear"/>
        <w:spacing w:after="120"/>
        <w:ind w:left="360" w:right="360"/>
      </w:pPr>
      <w:r>
        <w:rPr>
          <w:rFonts w:ascii="Arial" w:cs="Arial" w:eastAsia="Arial" w:hAnsi="Arial"/>
          <w:i/>
          <w:iCs/>
          <w:color w:val="E65100"/>
          <w:sz w:val="20"/>
          <w:szCs w:val="20"/>
        </w:rPr>
        <w:t xml:space="preserve">“Beta tool. Do not upload PHI or patient data. Use only on drafts you are allowed to share with third-party vendors. Content is processed transiently for analysis and not stored as a system of record.”</w:t>
      </w:r>
    </w:p>
    <w:p>
      <w:pPr>
        <w:spacing w:after="60"/>
      </w:pPr>
    </w:p>
    <w:p>
      <w:pPr>
        <w:pStyle w:val="Heading2"/>
      </w:pPr>
      <w:r>
        <w:t xml:space="preserve">8.4  Interactions</w:t>
      </w:r>
    </w:p>
    <w:p>
      <w:pPr>
        <w:pStyle w:val="ListParagraph"/>
        <w:numPr>
          <w:ilvl w:val="0"/>
          <w:numId w:val="2"/>
        </w:numPr>
      </w:pPr>
      <w:r>
        <w:rPr>
          <w:rFonts w:ascii="Arial" w:cs="Arial" w:eastAsia="Arial" w:hAnsi="Arial"/>
          <w:sz w:val="22"/>
          <w:szCs w:val="22"/>
        </w:rPr>
        <w:t xml:space="preserve">Clicking a finding updates center highlight and loads right-panel details.</w:t>
      </w:r>
    </w:p>
    <w:p>
      <w:pPr>
        <w:pStyle w:val="ListParagraph"/>
        <w:numPr>
          <w:ilvl w:val="0"/>
          <w:numId w:val="2"/>
        </w:numPr>
      </w:pPr>
      <w:r>
        <w:rPr>
          <w:rFonts w:ascii="Arial" w:cs="Arial" w:eastAsia="Arial" w:hAnsi="Arial"/>
          <w:sz w:val="22"/>
          <w:szCs w:val="22"/>
        </w:rPr>
        <w:t xml:space="preserve">Detail panel is read-only, driven by the backend’s analysis response (not a live chat).</w:t>
      </w:r>
    </w:p>
    <w:p>
      <w:pPr>
        <w:pStyle w:val="ListParagraph"/>
        <w:numPr>
          <w:ilvl w:val="0"/>
          <w:numId w:val="2"/>
        </w:numPr>
      </w:pPr>
      <w:r>
        <w:rPr>
          <w:rFonts w:ascii="Arial" w:cs="Arial" w:eastAsia="Arial" w:hAnsi="Arial"/>
          <w:sz w:val="22"/>
          <w:szCs w:val="22"/>
        </w:rPr>
        <w:t xml:space="preserve">Explanation text uses chat-bubble styling for readability but is a static render.</w:t>
      </w:r>
    </w:p>
    <w:p>
      <w:pPr>
        <w:pStyle w:val="Heading2"/>
      </w:pPr>
      <w:r>
        <w:t xml:space="preserve">8.5  Export (MVP)</w:t>
      </w:r>
    </w:p>
    <w:p>
      <w:pPr>
        <w:spacing w:after="120"/>
      </w:pPr>
      <w:r>
        <w:rPr>
          <w:rFonts w:ascii="Arial" w:cs="Arial" w:eastAsia="Arial" w:hAnsi="Arial"/>
          <w:sz w:val="22"/>
          <w:szCs w:val="22"/>
        </w:rPr>
        <w:t xml:space="preserve">“Copy Summary” button copies a text-formatted report (claims, statuses, issues, suggestions) to the clipboard.</w:t>
      </w:r>
    </w:p>
    <w:p>
      <w:pPr>
        <w:spacing w:after="120"/>
        <w:ind w:left="360"/>
      </w:pPr>
      <w:r>
        <w:rPr>
          <w:rFonts w:ascii="Arial" w:cs="Arial" w:eastAsia="Arial" w:hAnsi="Arial"/>
          <w:i/>
          <w:iCs/>
          <w:color w:val="555555"/>
          <w:sz w:val="20"/>
          <w:szCs w:val="20"/>
        </w:rPr>
        <w:t xml:space="preserve">v0.x+ roadmap: Export to PDF or structured JSON; saved analysis history with version comparison.</w:t>
      </w:r>
    </w:p>
    <w:p>
      <w:pPr>
        <w:pStyle w:val="Heading1"/>
      </w:pPr>
      <w:r>
        <w:t xml:space="preserve">9  Data Model</w:t>
      </w:r>
    </w:p>
    <w:p>
      <w:pPr>
        <w:spacing w:after="120"/>
      </w:pPr>
      <w:r>
        <w:rPr>
          <w:rFonts w:ascii="Arial" w:cs="Arial" w:eastAsia="Arial" w:hAnsi="Arial"/>
          <w:sz w:val="22"/>
          <w:szCs w:val="22"/>
        </w:rPr>
        <w:t xml:space="preserve">The following entities are persisted in the backend database (Postgres or equivalent). These represent the Product Profile configuration only.</w:t>
      </w:r>
    </w:p>
    <w:p>
      <w:pPr>
        <w:spacing w:after="60"/>
      </w:pPr>
    </w:p>
    <w:p>
      <w:pPr>
        <w:pStyle w:val="ListParagraph"/>
        <w:numPr>
          <w:ilvl w:val="0"/>
          <w:numId w:val="2"/>
        </w:numPr>
      </w:pPr>
      <w:r>
        <w:rPr>
          <w:rFonts w:ascii="Arial" w:cs="Arial" w:eastAsia="Arial" w:hAnsi="Arial"/>
          <w:sz w:val="22"/>
          <w:szCs w:val="22"/>
        </w:rPr>
        <w:t xml:space="preserve">ProductProfile: id, name, device_type, one_liner, ifu_text, population_text, risks_text, regions, created_at, updated_at.</w:t>
      </w:r>
    </w:p>
    <w:p>
      <w:pPr>
        <w:pStyle w:val="ListParagraph"/>
        <w:numPr>
          <w:ilvl w:val="0"/>
          <w:numId w:val="2"/>
        </w:numPr>
      </w:pPr>
      <w:r>
        <w:rPr>
          <w:rFonts w:ascii="Arial" w:cs="Arial" w:eastAsia="Arial" w:hAnsi="Arial"/>
          <w:sz w:val="22"/>
          <w:szCs w:val="22"/>
        </w:rPr>
        <w:t xml:space="preserve">CoreClaim: id, profile_id (FK), claim_text, claim_type, evidence_type, reference.</w:t>
      </w:r>
    </w:p>
    <w:p>
      <w:pPr>
        <w:pStyle w:val="ListParagraph"/>
        <w:numPr>
          <w:ilvl w:val="0"/>
          <w:numId w:val="2"/>
        </w:numPr>
      </w:pPr>
      <w:r>
        <w:rPr>
          <w:rFonts w:ascii="Arial" w:cs="Arial" w:eastAsia="Arial" w:hAnsi="Arial"/>
          <w:sz w:val="22"/>
          <w:szCs w:val="22"/>
        </w:rPr>
        <w:t xml:space="preserve">PromoRule: id, profile_id (FK), rule_text, is_default.</w:t>
      </w:r>
    </w:p>
    <w:p>
      <w:pPr>
        <w:spacing w:after="60"/>
      </w:pPr>
    </w:p>
    <w:p>
      <w:pPr>
        <w:spacing w:after="120"/>
      </w:pPr>
      <w:r>
        <w:rPr>
          <w:rFonts w:ascii="Arial" w:cs="Arial" w:eastAsia="Arial" w:hAnsi="Arial"/>
          <w:sz w:val="22"/>
          <w:szCs w:val="22"/>
        </w:rPr>
        <w:t xml:space="preserve">The in-app RAG index for each profile is derived from ProductProfile + CoreClaims + PromoRules. It is rebuilt on any profile edit.</w:t>
      </w:r>
    </w:p>
    <w:p>
      <w:pPr>
        <w:spacing w:after="60"/>
      </w:pPr>
    </w:p>
    <w:p>
      <w:pPr>
        <w:spacing w:after="120"/>
      </w:pPr>
      <w:r>
        <w:rPr>
          <w:rFonts w:ascii="Arial" w:cs="Arial" w:eastAsia="Arial" w:hAnsi="Arial"/>
          <w:b/>
          <w:bCs/>
          <w:sz w:val="22"/>
          <w:szCs w:val="22"/>
        </w:rPr>
        <w:t xml:space="preserve">Not persisted in v0: </w:t>
      </w:r>
      <w:r>
        <w:rPr>
          <w:rFonts w:ascii="Arial" w:cs="Arial" w:eastAsia="Arial" w:hAnsi="Arial"/>
          <w:sz w:val="22"/>
          <w:szCs w:val="22"/>
        </w:rPr>
        <w:t xml:space="preserve">Raw user-pasted content and analysis results are processed transiently in memory and discarded after the response is sent. The backend does not store analysis runs, version history, or full request/response payloads in v0.</w:t>
      </w:r>
    </w:p>
    <w:p>
      <w:pPr>
        <w:spacing w:after="60"/>
      </w:pPr>
    </w:p>
    <w:p>
      <w:pPr>
        <w:spacing w:after="120"/>
        <w:ind w:left="360"/>
      </w:pPr>
      <w:r>
        <w:rPr>
          <w:rFonts w:ascii="Arial" w:cs="Arial" w:eastAsia="Arial" w:hAnsi="Arial"/>
          <w:i/>
          <w:iCs/>
          <w:color w:val="555555"/>
          <w:sz w:val="20"/>
          <w:szCs w:val="20"/>
        </w:rPr>
        <w:t xml:space="preserve">v0.x+ roadmap: An AnalysisRun table (id, profile_id, asset_name, channel, input_text, result_json, created_at) to enable analysis history, saved results, and version-over-version comparison. This is a future enhancement, not in scope for v0.</w:t>
      </w:r>
    </w:p>
    <w:p>
      <w:pPr>
        <w:pStyle w:val="Heading1"/>
      </w:pPr>
      <w:r>
        <w:t xml:space="preserve">10  Security &amp; Data Handling</w:t>
      </w:r>
    </w:p>
    <w:p>
      <w:pPr>
        <w:spacing w:after="120"/>
      </w:pPr>
      <w:r>
        <w:rPr>
          <w:rFonts w:ascii="Arial" w:cs="Arial" w:eastAsia="Arial" w:hAnsi="Arial"/>
          <w:sz w:val="22"/>
          <w:szCs w:val="22"/>
        </w:rPr>
        <w:t xml:space="preserve">Because the Product Profile and analyzed content may contain confidential commercial information (device claims, IFU text, promotional strategies), the following security and data-handling requirements apply from launch day.</w:t>
      </w:r>
    </w:p>
    <w:p>
      <w:pPr>
        <w:pStyle w:val="Heading2"/>
      </w:pPr>
      <w:r>
        <w:t xml:space="preserve">10.1  Data in Transit</w:t>
      </w:r>
    </w:p>
    <w:p>
      <w:pPr>
        <w:pStyle w:val="ListParagraph"/>
        <w:numPr>
          <w:ilvl w:val="0"/>
          <w:numId w:val="2"/>
        </w:numPr>
      </w:pPr>
      <w:r>
        <w:rPr>
          <w:rFonts w:ascii="Arial" w:cs="Arial" w:eastAsia="Arial" w:hAnsi="Arial"/>
          <w:sz w:val="22"/>
          <w:szCs w:val="22"/>
        </w:rPr>
        <w:t xml:space="preserve">HTTPS (TLS 1.2+) is required for all traffic: frontend ↔ backend, and backend ↔ Claude API.</w:t>
      </w:r>
    </w:p>
    <w:p>
      <w:pPr>
        <w:pStyle w:val="ListParagraph"/>
        <w:numPr>
          <w:ilvl w:val="0"/>
          <w:numId w:val="2"/>
        </w:numPr>
      </w:pPr>
      <w:r>
        <w:rPr>
          <w:rFonts w:ascii="Arial" w:cs="Arial" w:eastAsia="Arial" w:hAnsi="Arial"/>
          <w:sz w:val="22"/>
          <w:szCs w:val="22"/>
        </w:rPr>
        <w:t xml:space="preserve">No product data or user content is transmitted over unencrypted channels.</w:t>
      </w:r>
    </w:p>
    <w:p>
      <w:pPr>
        <w:pStyle w:val="Heading2"/>
      </w:pPr>
      <w:r>
        <w:t xml:space="preserve">10.2  Data at Rest &amp; Non-Persistence (v0)</w:t>
      </w:r>
    </w:p>
    <w:p>
      <w:pPr>
        <w:pStyle w:val="ListParagraph"/>
        <w:numPr>
          <w:ilvl w:val="0"/>
          <w:numId w:val="2"/>
        </w:numPr>
      </w:pPr>
      <w:r>
        <w:rPr>
          <w:rFonts w:ascii="Arial" w:cs="Arial" w:eastAsia="Arial" w:hAnsi="Arial"/>
          <w:sz w:val="22"/>
          <w:szCs w:val="22"/>
        </w:rPr>
        <w:t xml:space="preserve">Product Profile records (device info, IFU, claims, rules) are stored in the backend database with encryption at rest enabled.</w:t>
      </w:r>
    </w:p>
    <w:p>
      <w:pPr>
        <w:pStyle w:val="ListParagraph"/>
        <w:numPr>
          <w:ilvl w:val="0"/>
          <w:numId w:val="2"/>
        </w:numPr>
      </w:pPr>
      <w:r>
        <w:rPr>
          <w:rFonts w:ascii="Arial" w:cs="Arial" w:eastAsia="Arial" w:hAnsi="Arial"/>
          <w:sz w:val="22"/>
          <w:szCs w:val="22"/>
        </w:rPr>
        <w:t xml:space="preserve">User-pasted content and analysis results are not persisted in v0. The backend processes each request in memory, returns the response, and discards the payload. No raw content or analysis results are written to disk, database, or logs.</w:t>
      </w:r>
    </w:p>
    <w:p>
      <w:pPr>
        <w:pStyle w:val="ListParagraph"/>
        <w:numPr>
          <w:ilvl w:val="0"/>
          <w:numId w:val="2"/>
        </w:numPr>
      </w:pPr>
      <w:r>
        <w:rPr>
          <w:rFonts w:ascii="Arial" w:cs="Arial" w:eastAsia="Arial" w:hAnsi="Arial"/>
          <w:sz w:val="22"/>
          <w:szCs w:val="22"/>
        </w:rPr>
        <w:t xml:space="preserve">No logging of full request or response payloads. Application logs may record metadata (timestamps, profile IDs, error codes) but never the content text or analysis JSON.</w:t>
      </w:r>
    </w:p>
    <w:p>
      <w:pPr>
        <w:pStyle w:val="Heading2"/>
      </w:pPr>
      <w:r>
        <w:t xml:space="preserve">10.3  Claude API Data Handling</w:t>
      </w:r>
    </w:p>
    <w:p>
      <w:pPr>
        <w:pStyle w:val="ListParagraph"/>
        <w:numPr>
          <w:ilvl w:val="0"/>
          <w:numId w:val="2"/>
        </w:numPr>
      </w:pPr>
      <w:r>
        <w:rPr>
          <w:rFonts w:ascii="Arial" w:cs="Arial" w:eastAsia="Arial" w:hAnsi="Arial"/>
          <w:sz w:val="22"/>
          <w:szCs w:val="22"/>
        </w:rPr>
        <w:t xml:space="preserve">The backend calls the Claude API using Anthropic’s zero-data-retention (ZDR) configuration, ensuring that prompts and responses are not used for model training and are not retained by Anthropic beyond the API call.</w:t>
      </w:r>
    </w:p>
    <w:p>
      <w:pPr>
        <w:pStyle w:val="ListParagraph"/>
        <w:numPr>
          <w:ilvl w:val="0"/>
          <w:numId w:val="2"/>
        </w:numPr>
      </w:pPr>
      <w:r>
        <w:rPr>
          <w:rFonts w:ascii="Arial" w:cs="Arial" w:eastAsia="Arial" w:hAnsi="Arial"/>
          <w:sz w:val="22"/>
          <w:szCs w:val="22"/>
        </w:rPr>
        <w:t xml:space="preserve">No product data is sent to any third-party service other than the Claude API.</w:t>
      </w:r>
    </w:p>
    <w:p>
      <w:pPr>
        <w:pStyle w:val="Heading2"/>
      </w:pPr>
      <w:r>
        <w:t xml:space="preserve">10.4  Scope &amp; Compliance Boundaries</w:t>
      </w:r>
    </w:p>
    <w:p>
      <w:pPr>
        <w:pStyle w:val="ListParagraph"/>
        <w:numPr>
          <w:ilvl w:val="0"/>
          <w:numId w:val="2"/>
        </w:numPr>
      </w:pPr>
      <w:r>
        <w:rPr>
          <w:rFonts w:ascii="Arial" w:cs="Arial" w:eastAsia="Arial" w:hAnsi="Arial"/>
          <w:sz w:val="22"/>
          <w:szCs w:val="22"/>
        </w:rPr>
        <w:t xml:space="preserve">The tool is intended for non-PHI medtech marketing and training drafts only. It is not designed to process protected health information (PHI), patient data, or individually identifiable health records.</w:t>
      </w:r>
    </w:p>
    <w:p>
      <w:pPr>
        <w:pStyle w:val="ListParagraph"/>
        <w:numPr>
          <w:ilvl w:val="0"/>
          <w:numId w:val="2"/>
        </w:numPr>
      </w:pPr>
      <w:r>
        <w:rPr>
          <w:rFonts w:ascii="Arial" w:cs="Arial" w:eastAsia="Arial" w:hAnsi="Arial"/>
          <w:sz w:val="22"/>
          <w:szCs w:val="22"/>
        </w:rPr>
        <w:t xml:space="preserve">HIPAA compliance and 21 CFR Part 11 compliance are explicitly out of scope for v0.</w:t>
      </w:r>
    </w:p>
    <w:p>
      <w:pPr>
        <w:pStyle w:val="ListParagraph"/>
        <w:numPr>
          <w:ilvl w:val="0"/>
          <w:numId w:val="2"/>
        </w:numPr>
      </w:pPr>
      <w:r>
        <w:rPr>
          <w:rFonts w:ascii="Arial" w:cs="Arial" w:eastAsia="Arial" w:hAnsi="Arial"/>
          <w:sz w:val="22"/>
          <w:szCs w:val="22"/>
        </w:rPr>
        <w:t xml:space="preserve">The UI beta banner (Section 8.3) reinforces these boundaries to users at all times.</w:t>
      </w:r>
    </w:p>
    <w:p>
      <w:pPr>
        <w:pStyle w:val="Heading2"/>
      </w:pPr>
      <w:r>
        <w:t xml:space="preserve">10.5  Access Control (MVP)</w:t>
      </w:r>
    </w:p>
    <w:p>
      <w:pPr>
        <w:pStyle w:val="ListParagraph"/>
        <w:numPr>
          <w:ilvl w:val="0"/>
          <w:numId w:val="2"/>
        </w:numPr>
      </w:pPr>
      <w:r>
        <w:rPr>
          <w:rFonts w:ascii="Arial" w:cs="Arial" w:eastAsia="Arial" w:hAnsi="Arial"/>
          <w:sz w:val="22"/>
          <w:szCs w:val="22"/>
        </w:rPr>
        <w:t xml:space="preserve">MVP is single-tenant. Access is controlled via a simple authentication mechanism (e.g., email + password or SSO).</w:t>
      </w:r>
    </w:p>
    <w:p>
      <w:pPr>
        <w:pStyle w:val="ListParagraph"/>
        <w:numPr>
          <w:ilvl w:val="0"/>
          <w:numId w:val="2"/>
        </w:numPr>
      </w:pPr>
      <w:r>
        <w:rPr>
          <w:rFonts w:ascii="Arial" w:cs="Arial" w:eastAsia="Arial" w:hAnsi="Arial"/>
          <w:sz w:val="22"/>
          <w:szCs w:val="22"/>
        </w:rPr>
        <w:t xml:space="preserve">API keys for the Claude API are stored as server-side environment secrets; they are never exposed to the frontend or included in client-side code.</w:t>
      </w:r>
    </w:p>
    <w:p>
      <w:pPr>
        <w:pStyle w:val="Heading2"/>
      </w:pPr>
      <w:r>
        <w:t xml:space="preserve">10.6  Future Security Considerations</w:t>
      </w:r>
    </w:p>
    <w:p>
      <w:pPr>
        <w:spacing w:after="120"/>
        <w:ind w:left="360"/>
      </w:pPr>
      <w:r>
        <w:rPr>
          <w:rFonts w:ascii="Arial" w:cs="Arial" w:eastAsia="Arial" w:hAnsi="Arial"/>
          <w:i/>
          <w:iCs/>
          <w:color w:val="555555"/>
          <w:sz w:val="20"/>
          <w:szCs w:val="20"/>
        </w:rPr>
        <w:t xml:space="preserve">v0.x+ roadmap: Multi-tenant isolation (per-organization data separation); role-based access control (Admin / Author / Reviewer); SOC 2 Type II compliance for production readiness; optional analysis-result persistence with encryption and retention policies.</w:t>
      </w:r>
    </w:p>
    <w:p>
      <w:pPr>
        <w:pStyle w:val="Heading1"/>
      </w:pPr>
      <w:r>
        <w:t xml:space="preserve">11  Non-Functional Requirements</w:t>
      </w:r>
    </w:p>
    <w:p>
      <w:pPr>
        <w:pStyle w:val="ListParagraph"/>
        <w:numPr>
          <w:ilvl w:val="0"/>
          <w:numId w:val="2"/>
        </w:numPr>
      </w:pPr>
      <w:r>
        <w:rPr>
          <w:rFonts w:ascii="Arial" w:cs="Arial" w:eastAsia="Arial" w:hAnsi="Arial"/>
          <w:sz w:val="22"/>
          <w:szCs w:val="22"/>
        </w:rPr>
        <w:t xml:space="preserve">Latency: ≤ 20 seconds end-to-end for inputs up to 2,000 words. UI shows progress indicator.</w:t>
      </w:r>
    </w:p>
    <w:p>
      <w:pPr>
        <w:pStyle w:val="ListParagraph"/>
        <w:numPr>
          <w:ilvl w:val="0"/>
          <w:numId w:val="2"/>
        </w:numPr>
      </w:pPr>
      <w:r>
        <w:rPr>
          <w:rFonts w:ascii="Arial" w:cs="Arial" w:eastAsia="Arial" w:hAnsi="Arial"/>
          <w:sz w:val="22"/>
          <w:szCs w:val="22"/>
        </w:rPr>
        <w:t xml:space="preserve">Scalability: Single-tenant for MVP; architecture supports future multi-tenant isolation.</w:t>
      </w:r>
    </w:p>
    <w:p>
      <w:pPr>
        <w:pStyle w:val="ListParagraph"/>
        <w:numPr>
          <w:ilvl w:val="0"/>
          <w:numId w:val="2"/>
        </w:numPr>
      </w:pPr>
      <w:r>
        <w:rPr>
          <w:rFonts w:ascii="Arial" w:cs="Arial" w:eastAsia="Arial" w:hAnsi="Arial"/>
          <w:sz w:val="22"/>
          <w:szCs w:val="22"/>
        </w:rPr>
        <w:t xml:space="preserve">Security &amp; data handling: See Section 10 for full requirements (HTTPS, non-persistence, ZDR, scope boundaries, beta banner).</w:t>
      </w:r>
    </w:p>
    <w:p>
      <w:pPr>
        <w:pStyle w:val="ListParagraph"/>
        <w:numPr>
          <w:ilvl w:val="0"/>
          <w:numId w:val="2"/>
        </w:numPr>
      </w:pPr>
      <w:r>
        <w:rPr>
          <w:rFonts w:ascii="Arial" w:cs="Arial" w:eastAsia="Arial" w:hAnsi="Arial"/>
          <w:sz w:val="22"/>
          <w:szCs w:val="22"/>
        </w:rPr>
        <w:t xml:space="preserve">Availability: Standard cloud SLA (99.5%+). No offline mode.</w:t>
      </w:r>
    </w:p>
    <w:p>
      <w:pPr>
        <w:pStyle w:val="ListParagraph"/>
        <w:numPr>
          <w:ilvl w:val="0"/>
          <w:numId w:val="2"/>
        </w:numPr>
      </w:pPr>
      <w:r>
        <w:rPr>
          <w:rFonts w:ascii="Arial" w:cs="Arial" w:eastAsia="Arial" w:hAnsi="Arial"/>
          <w:sz w:val="22"/>
          <w:szCs w:val="22"/>
        </w:rPr>
        <w:t xml:space="preserve">Auditability: In v0, auditability is limited to application-level metadata logs (timestamps, profile IDs). Full analysis-result audit trails require the persistence features planned for v0.x+.</w:t>
      </w:r>
    </w:p>
    <w:p>
      <w:pPr>
        <w:pStyle w:val="ListParagraph"/>
        <w:numPr>
          <w:ilvl w:val="0"/>
          <w:numId w:val="2"/>
        </w:numPr>
      </w:pPr>
      <w:r>
        <w:rPr>
          <w:rFonts w:ascii="Arial" w:cs="Arial" w:eastAsia="Arial" w:hAnsi="Arial"/>
          <w:sz w:val="22"/>
          <w:szCs w:val="22"/>
        </w:rPr>
        <w:t xml:space="preserve">Input limits: 10,000-character cap on content for MVP.</w:t>
      </w:r>
    </w:p>
    <w:p>
      <w:pPr>
        <w:pStyle w:val="Heading1"/>
      </w:pPr>
      <w:r>
        <w:t xml:space="preserve">12  Out of Scope for MVP</w:t>
      </w:r>
    </w:p>
    <w:p>
      <w:pPr>
        <w:pStyle w:val="ListParagraph"/>
        <w:numPr>
          <w:ilvl w:val="0"/>
          <w:numId w:val="2"/>
        </w:numPr>
      </w:pPr>
      <w:r>
        <w:rPr>
          <w:rFonts w:ascii="Arial" w:cs="Arial" w:eastAsia="Arial" w:hAnsi="Arial"/>
          <w:sz w:val="22"/>
          <w:szCs w:val="22"/>
        </w:rPr>
        <w:t xml:space="preserve">PDF, PowerPoint, or image ingestion—text-only input.</w:t>
      </w:r>
    </w:p>
    <w:p>
      <w:pPr>
        <w:pStyle w:val="ListParagraph"/>
        <w:numPr>
          <w:ilvl w:val="0"/>
          <w:numId w:val="2"/>
        </w:numPr>
      </w:pPr>
      <w:r>
        <w:rPr>
          <w:rFonts w:ascii="Arial" w:cs="Arial" w:eastAsia="Arial" w:hAnsi="Arial"/>
          <w:sz w:val="22"/>
          <w:szCs w:val="22"/>
        </w:rPr>
        <w:t xml:space="preserve">True layout or character-level diffing (claim-level diff only).</w:t>
      </w:r>
    </w:p>
    <w:p>
      <w:pPr>
        <w:pStyle w:val="ListParagraph"/>
        <w:numPr>
          <w:ilvl w:val="0"/>
          <w:numId w:val="2"/>
        </w:numPr>
      </w:pPr>
      <w:r>
        <w:rPr>
          <w:rFonts w:ascii="Arial" w:cs="Arial" w:eastAsia="Arial" w:hAnsi="Arial"/>
          <w:sz w:val="22"/>
          <w:szCs w:val="22"/>
        </w:rPr>
        <w:t xml:space="preserve">Persistence of analysis results, saved analysis history, or version-over-version comparison.</w:t>
      </w:r>
    </w:p>
    <w:p>
      <w:pPr>
        <w:pStyle w:val="ListParagraph"/>
        <w:numPr>
          <w:ilvl w:val="0"/>
          <w:numId w:val="2"/>
        </w:numPr>
      </w:pPr>
      <w:r>
        <w:rPr>
          <w:rFonts w:ascii="Arial" w:cs="Arial" w:eastAsia="Arial" w:hAnsi="Arial"/>
          <w:sz w:val="22"/>
          <w:szCs w:val="22"/>
        </w:rPr>
        <w:t xml:space="preserve">Multi-user workflow, assignments, routing, roles, or SLAs.</w:t>
      </w:r>
    </w:p>
    <w:p>
      <w:pPr>
        <w:pStyle w:val="ListParagraph"/>
        <w:numPr>
          <w:ilvl w:val="0"/>
          <w:numId w:val="2"/>
        </w:numPr>
      </w:pPr>
      <w:r>
        <w:rPr>
          <w:rFonts w:ascii="Arial" w:cs="Arial" w:eastAsia="Arial" w:hAnsi="Arial"/>
          <w:sz w:val="22"/>
          <w:szCs w:val="22"/>
        </w:rPr>
        <w:t xml:space="preserve">Veeva Vault, DAM, or external content-management integration.</w:t>
      </w:r>
    </w:p>
    <w:p>
      <w:pPr>
        <w:pStyle w:val="ListParagraph"/>
        <w:numPr>
          <w:ilvl w:val="0"/>
          <w:numId w:val="2"/>
        </w:numPr>
      </w:pPr>
      <w:r>
        <w:rPr>
          <w:rFonts w:ascii="Arial" w:cs="Arial" w:eastAsia="Arial" w:hAnsi="Arial"/>
          <w:sz w:val="22"/>
          <w:szCs w:val="22"/>
        </w:rPr>
        <w:t xml:space="preserve">Full regulatory databases or live FDA/CFR search.</w:t>
      </w:r>
    </w:p>
    <w:p>
      <w:pPr>
        <w:pStyle w:val="ListParagraph"/>
        <w:numPr>
          <w:ilvl w:val="0"/>
          <w:numId w:val="2"/>
        </w:numPr>
      </w:pPr>
      <w:r>
        <w:rPr>
          <w:rFonts w:ascii="Arial" w:cs="Arial" w:eastAsia="Arial" w:hAnsi="Arial"/>
          <w:sz w:val="22"/>
          <w:szCs w:val="22"/>
        </w:rPr>
        <w:t xml:space="preserve">Region-specific rule packs beyond user configuration.</w:t>
      </w:r>
    </w:p>
    <w:p>
      <w:pPr>
        <w:pStyle w:val="ListParagraph"/>
        <w:numPr>
          <w:ilvl w:val="0"/>
          <w:numId w:val="2"/>
        </w:numPr>
      </w:pPr>
      <w:r>
        <w:rPr>
          <w:rFonts w:ascii="Arial" w:cs="Arial" w:eastAsia="Arial" w:hAnsi="Arial"/>
          <w:sz w:val="22"/>
          <w:szCs w:val="22"/>
        </w:rPr>
        <w:t xml:space="preserve">Real-time collaborative editing.</w:t>
      </w:r>
    </w:p>
    <w:p>
      <w:pPr>
        <w:pStyle w:val="ListParagraph"/>
        <w:numPr>
          <w:ilvl w:val="0"/>
          <w:numId w:val="2"/>
        </w:numPr>
      </w:pPr>
      <w:r>
        <w:rPr>
          <w:rFonts w:ascii="Arial" w:cs="Arial" w:eastAsia="Arial" w:hAnsi="Arial"/>
          <w:sz w:val="22"/>
          <w:szCs w:val="22"/>
        </w:rPr>
        <w:t xml:space="preserve">Automated re-analysis on profile changes.</w:t>
      </w:r>
    </w:p>
    <w:p>
      <w:pPr>
        <w:pStyle w:val="ListParagraph"/>
        <w:numPr>
          <w:ilvl w:val="0"/>
          <w:numId w:val="2"/>
        </w:numPr>
      </w:pPr>
      <w:r>
        <w:rPr>
          <w:rFonts w:ascii="Arial" w:cs="Arial" w:eastAsia="Arial" w:hAnsi="Arial"/>
          <w:sz w:val="22"/>
          <w:szCs w:val="22"/>
        </w:rPr>
        <w:t xml:space="preserve">Dedicated agent-orchestration platform (e.g., OpenAI Agent Builder)—deferred to a future version if needed.</w:t>
      </w:r>
    </w:p>
    <w:p>
      <w:pPr>
        <w:pStyle w:val="ListParagraph"/>
        <w:numPr>
          <w:ilvl w:val="0"/>
          <w:numId w:val="2"/>
        </w:numPr>
      </w:pPr>
      <w:r>
        <w:rPr>
          <w:rFonts w:ascii="Arial" w:cs="Arial" w:eastAsia="Arial" w:hAnsi="Arial"/>
          <w:sz w:val="22"/>
          <w:szCs w:val="22"/>
        </w:rPr>
        <w:t xml:space="preserve">HIPAA compliance or 21 CFR Part 11 compliance.</w:t>
      </w:r>
    </w:p>
    <w:p>
      <w:pPr>
        <w:pStyle w:val="ListParagraph"/>
        <w:numPr>
          <w:ilvl w:val="0"/>
          <w:numId w:val="2"/>
        </w:numPr>
      </w:pPr>
      <w:r>
        <w:rPr>
          <w:rFonts w:ascii="Arial" w:cs="Arial" w:eastAsia="Arial" w:hAnsi="Arial"/>
          <w:sz w:val="22"/>
          <w:szCs w:val="22"/>
        </w:rPr>
        <w:t xml:space="preserve">Processing of PHI or patient data.</w:t>
      </w:r>
    </w:p>
    <w:p>
      <w:pPr>
        <w:pStyle w:val="Heading1"/>
      </w:pPr>
      <w:r>
        <w:t xml:space="preserve">13  Success Criteria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Profile creation time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5 minutes for a typical 510(k) device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Timed usability sessions (n ≥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Analysis turnaround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results in ≤ 20 s for ≤ 2,000-word input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latency logging</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Issue-surfacing relevance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80% of flagged issues rated “relevant” by RA reviewer</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Blind comparison on 10 sample assets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 adoption intent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80% say they would use it as a pre-check before MLR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Post-pilot survey (n ≥ 5–10)</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Claim extraction recall</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85% of claims identified vs. manual RA review</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Blind comparison on 10 sample assets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 satisfaction (qual)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Majority report the tool surfaces issues they check manually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interviews after pilot</w:t>
            </w:r>
          </w:p>
        </w:tc>
      </w:tr>
    </w:tbl>
    <w:p>
      <w:pPr>
        <w:spacing w:after="60"/>
      </w:pPr>
    </w:p>
    <w:p>
      <w:pPr>
        <w:pStyle w:val="Heading1"/>
      </w:pPr>
      <w:r>
        <w:t xml:space="preserve">14  Risks &amp; Mitigations</w:t>
      </w:r>
    </w:p>
    <w:p>
      <w:pPr>
        <w:spacing w:after="120"/>
      </w:pPr>
      <w:r>
        <w:rPr>
          <w:rFonts w:ascii="Arial" w:cs="Arial" w:eastAsia="Arial" w:hAnsi="Arial"/>
          <w:b/>
          <w:bCs/>
          <w:sz w:val="22"/>
          <w:szCs w:val="22"/>
        </w:rPr>
        <w:t xml:space="preserve">LLM hallucination: </w:t>
      </w:r>
      <w:r>
        <w:rPr>
          <w:rFonts w:ascii="Arial" w:cs="Arial" w:eastAsia="Arial" w:hAnsi="Arial"/>
          <w:sz w:val="22"/>
          <w:szCs w:val="22"/>
        </w:rPr>
        <w:t xml:space="preserve">Primary risk. Mitigation: strict system-prompt constraints, in-app RAG grounding, deterministic sub-checks, and a QA test suite with known-good and known-bad samples.</w:t>
      </w:r>
    </w:p>
    <w:p>
      <w:pPr>
        <w:spacing w:after="60"/>
      </w:pPr>
    </w:p>
    <w:p>
      <w:pPr>
        <w:spacing w:after="120"/>
      </w:pPr>
      <w:r>
        <w:rPr>
          <w:rFonts w:ascii="Arial" w:cs="Arial" w:eastAsia="Arial" w:hAnsi="Arial"/>
          <w:b/>
          <w:bCs/>
          <w:sz w:val="22"/>
          <w:szCs w:val="22"/>
        </w:rPr>
        <w:t xml:space="preserve">Over-reliance: </w:t>
      </w:r>
      <w:r>
        <w:rPr>
          <w:rFonts w:ascii="Arial" w:cs="Arial" w:eastAsia="Arial" w:hAnsi="Arial"/>
          <w:sz w:val="22"/>
          <w:szCs w:val="22"/>
        </w:rPr>
        <w:t xml:space="preserve">Users may treat “no flags” as “compliant.” Mitigation: persistent UI disclaimer and beta banner; summary bar reminder that the tool is a pre-screen.</w:t>
      </w:r>
    </w:p>
    <w:p>
      <w:pPr>
        <w:spacing w:after="60"/>
      </w:pPr>
    </w:p>
    <w:p>
      <w:pPr>
        <w:spacing w:after="120"/>
      </w:pPr>
      <w:r>
        <w:rPr>
          <w:rFonts w:ascii="Arial" w:cs="Arial" w:eastAsia="Arial" w:hAnsi="Arial"/>
          <w:b/>
          <w:bCs/>
          <w:sz w:val="22"/>
          <w:szCs w:val="22"/>
        </w:rPr>
        <w:t xml:space="preserve">Latency: </w:t>
      </w:r>
      <w:r>
        <w:rPr>
          <w:rFonts w:ascii="Arial" w:cs="Arial" w:eastAsia="Arial" w:hAnsi="Arial"/>
          <w:sz w:val="22"/>
          <w:szCs w:val="22"/>
        </w:rPr>
        <w:t xml:space="preserve">Sequential Claude calls may exceed 20 s for long inputs. Mitigation: 10,000-char limit; parallelizing independent steps where possible; timeout with retry prompt.</w:t>
      </w:r>
    </w:p>
    <w:p>
      <w:pPr>
        <w:spacing w:after="60"/>
      </w:pPr>
    </w:p>
    <w:p>
      <w:pPr>
        <w:spacing w:after="120"/>
      </w:pPr>
      <w:r>
        <w:rPr>
          <w:rFonts w:ascii="Arial" w:cs="Arial" w:eastAsia="Arial" w:hAnsi="Arial"/>
          <w:b/>
          <w:bCs/>
          <w:sz w:val="22"/>
          <w:szCs w:val="22"/>
        </w:rPr>
        <w:t xml:space="preserve">Profile quality: </w:t>
      </w:r>
      <w:r>
        <w:rPr>
          <w:rFonts w:ascii="Arial" w:cs="Arial" w:eastAsia="Arial" w:hAnsi="Arial"/>
          <w:sz w:val="22"/>
          <w:szCs w:val="22"/>
        </w:rPr>
        <w:t xml:space="preserve">Incomplete IFU/claims yield unreliable analysis. Mitigation: inline guidance, minimum 3-claim validation, future IFU-validation features.</w:t>
      </w:r>
    </w:p>
    <w:p>
      <w:pPr>
        <w:spacing w:after="60"/>
      </w:pPr>
    </w:p>
    <w:p>
      <w:pPr>
        <w:spacing w:after="120"/>
      </w:pPr>
      <w:r>
        <w:rPr>
          <w:rFonts w:ascii="Arial" w:cs="Arial" w:eastAsia="Arial" w:hAnsi="Arial"/>
          <w:b/>
          <w:bCs/>
          <w:sz w:val="22"/>
          <w:szCs w:val="22"/>
        </w:rPr>
        <w:t xml:space="preserve">Claim extraction accuracy: </w:t>
      </w:r>
      <w:r>
        <w:rPr>
          <w:rFonts w:ascii="Arial" w:cs="Arial" w:eastAsia="Arial" w:hAnsi="Arial"/>
          <w:sz w:val="22"/>
          <w:szCs w:val="22"/>
        </w:rPr>
        <w:t xml:space="preserve">Claude may miss subtle claims. Mitigation: medtech-specific prompt tuning; recall measurement vs. manual RA review; iteration.</w:t>
      </w:r>
    </w:p>
    <w:p>
      <w:pPr>
        <w:spacing w:after="60"/>
      </w:pPr>
    </w:p>
    <w:p>
      <w:pPr>
        <w:spacing w:after="120"/>
      </w:pPr>
      <w:r>
        <w:rPr>
          <w:rFonts w:ascii="Arial" w:cs="Arial" w:eastAsia="Arial" w:hAnsi="Arial"/>
          <w:b/>
          <w:bCs/>
          <w:sz w:val="22"/>
          <w:szCs w:val="22"/>
        </w:rPr>
        <w:t xml:space="preserve">Data confidentiality: </w:t>
      </w:r>
      <w:r>
        <w:rPr>
          <w:rFonts w:ascii="Arial" w:cs="Arial" w:eastAsia="Arial" w:hAnsi="Arial"/>
          <w:sz w:val="22"/>
          <w:szCs w:val="22"/>
        </w:rPr>
        <w:t xml:space="preserve">Product Profile data is commercially sensitive. Mitigation: ZDR Claude API usage, HTTPS only, non-persistence of analysis content in v0, no third-party data sharing (see Section 10).</w:t>
      </w:r>
    </w:p>
    <w:p>
      <w:pPr>
        <w:spacing w:after="60"/>
      </w:pPr>
    </w:p>
    <w:p>
      <w:pPr>
        <w:spacing w:after="120"/>
      </w:pPr>
      <w:r>
        <w:rPr>
          <w:rFonts w:ascii="Arial" w:cs="Arial" w:eastAsia="Arial" w:hAnsi="Arial"/>
          <w:b/>
          <w:bCs/>
          <w:sz w:val="22"/>
          <w:szCs w:val="22"/>
        </w:rPr>
        <w:t xml:space="preserve">Accidental PHI exposure: </w:t>
      </w:r>
      <w:r>
        <w:rPr>
          <w:rFonts w:ascii="Arial" w:cs="Arial" w:eastAsia="Arial" w:hAnsi="Arial"/>
          <w:sz w:val="22"/>
          <w:szCs w:val="22"/>
        </w:rPr>
        <w:t xml:space="preserve">A user may paste content containing patient data despite the beta banner. Mitigation: UI banner is persistent and non-dismissible; terms of use require users to confirm no PHI; future versions may add lightweight PII/PHI detection.</w:t>
      </w:r>
    </w:p>
    <w:p>
      <w:pPr>
        <w:pStyle w:val="Heading1"/>
      </w:pPr>
      <w:r>
        <w:t xml:space="preserve">15  Future Considerations (v0.x+ Roadmap)</w:t>
      </w:r>
    </w:p>
    <w:p>
      <w:pPr>
        <w:spacing w:after="120"/>
      </w:pPr>
      <w:r>
        <w:rPr>
          <w:rFonts w:ascii="Arial" w:cs="Arial" w:eastAsia="Arial" w:hAnsi="Arial"/>
          <w:sz w:val="22"/>
          <w:szCs w:val="22"/>
        </w:rPr>
        <w:t xml:space="preserve">The following features are explicitly out of scope for v0 and are candidates for future releases:</w:t>
      </w:r>
    </w:p>
    <w:p>
      <w:pPr>
        <w:pStyle w:val="ListParagraph"/>
        <w:numPr>
          <w:ilvl w:val="0"/>
          <w:numId w:val="2"/>
        </w:numPr>
      </w:pPr>
      <w:r>
        <w:rPr>
          <w:rFonts w:ascii="Arial" w:cs="Arial" w:eastAsia="Arial" w:hAnsi="Arial"/>
          <w:sz w:val="22"/>
          <w:szCs w:val="22"/>
        </w:rPr>
        <w:t xml:space="preserve">Analysis history &amp; saved results: Persist AnalysisRun records so users can revisit past analyses and compare versions over time.</w:t>
      </w:r>
    </w:p>
    <w:p>
      <w:pPr>
        <w:pStyle w:val="ListParagraph"/>
        <w:numPr>
          <w:ilvl w:val="0"/>
          <w:numId w:val="2"/>
        </w:numPr>
      </w:pPr>
      <w:r>
        <w:rPr>
          <w:rFonts w:ascii="Arial" w:cs="Arial" w:eastAsia="Arial" w:hAnsi="Arial"/>
          <w:sz w:val="22"/>
          <w:szCs w:val="22"/>
        </w:rPr>
        <w:t xml:space="preserve">PDF/PPT ingestion with OCR and layout-aware extraction.</w:t>
      </w:r>
    </w:p>
    <w:p>
      <w:pPr>
        <w:pStyle w:val="ListParagraph"/>
        <w:numPr>
          <w:ilvl w:val="0"/>
          <w:numId w:val="2"/>
        </w:numPr>
      </w:pPr>
      <w:r>
        <w:rPr>
          <w:rFonts w:ascii="Arial" w:cs="Arial" w:eastAsia="Arial" w:hAnsi="Arial"/>
          <w:sz w:val="22"/>
          <w:szCs w:val="22"/>
        </w:rPr>
        <w:t xml:space="preserve">Multi-user workspace with roles (Author, Reviewer, Admin) and role-based access control.</w:t>
      </w:r>
    </w:p>
    <w:p>
      <w:pPr>
        <w:pStyle w:val="ListParagraph"/>
        <w:numPr>
          <w:ilvl w:val="0"/>
          <w:numId w:val="2"/>
        </w:numPr>
      </w:pPr>
      <w:r>
        <w:rPr>
          <w:rFonts w:ascii="Arial" w:cs="Arial" w:eastAsia="Arial" w:hAnsi="Arial"/>
          <w:sz w:val="22"/>
          <w:szCs w:val="22"/>
        </w:rPr>
        <w:t xml:space="preserve">Veeva Vault PromoMats integration.</w:t>
      </w:r>
    </w:p>
    <w:p>
      <w:pPr>
        <w:pStyle w:val="ListParagraph"/>
        <w:numPr>
          <w:ilvl w:val="0"/>
          <w:numId w:val="2"/>
        </w:numPr>
      </w:pPr>
      <w:r>
        <w:rPr>
          <w:rFonts w:ascii="Arial" w:cs="Arial" w:eastAsia="Arial" w:hAnsi="Arial"/>
          <w:sz w:val="22"/>
          <w:szCs w:val="22"/>
        </w:rPr>
        <w:t xml:space="preserve">Migration to a formal agent-orchestration framework if complexity warrants it.</w:t>
      </w:r>
    </w:p>
    <w:p>
      <w:pPr>
        <w:pStyle w:val="ListParagraph"/>
        <w:numPr>
          <w:ilvl w:val="0"/>
          <w:numId w:val="2"/>
        </w:numPr>
      </w:pPr>
      <w:r>
        <w:rPr>
          <w:rFonts w:ascii="Arial" w:cs="Arial" w:eastAsia="Arial" w:hAnsi="Arial"/>
          <w:sz w:val="22"/>
          <w:szCs w:val="22"/>
        </w:rPr>
        <w:t xml:space="preserve">Curated regulatory knowledge packs as optional add-on data.</w:t>
      </w:r>
    </w:p>
    <w:p>
      <w:pPr>
        <w:pStyle w:val="ListParagraph"/>
        <w:numPr>
          <w:ilvl w:val="0"/>
          <w:numId w:val="2"/>
        </w:numPr>
      </w:pPr>
      <w:r>
        <w:rPr>
          <w:rFonts w:ascii="Arial" w:cs="Arial" w:eastAsia="Arial" w:hAnsi="Arial"/>
          <w:sz w:val="22"/>
          <w:szCs w:val="22"/>
        </w:rPr>
        <w:t xml:space="preserve">Region-specific rule templates (US, EU MDR).</w:t>
      </w:r>
    </w:p>
    <w:p>
      <w:pPr>
        <w:pStyle w:val="ListParagraph"/>
        <w:numPr>
          <w:ilvl w:val="0"/>
          <w:numId w:val="2"/>
        </w:numPr>
      </w:pPr>
      <w:r>
        <w:rPr>
          <w:rFonts w:ascii="Arial" w:cs="Arial" w:eastAsia="Arial" w:hAnsi="Arial"/>
          <w:sz w:val="22"/>
          <w:szCs w:val="22"/>
        </w:rPr>
        <w:t xml:space="preserve">Continuous learning from accepted/dismissed flags.</w:t>
      </w:r>
    </w:p>
    <w:p>
      <w:pPr>
        <w:pStyle w:val="ListParagraph"/>
        <w:numPr>
          <w:ilvl w:val="0"/>
          <w:numId w:val="2"/>
        </w:numPr>
      </w:pPr>
      <w:r>
        <w:rPr>
          <w:rFonts w:ascii="Arial" w:cs="Arial" w:eastAsia="Arial" w:hAnsi="Arial"/>
          <w:sz w:val="22"/>
          <w:szCs w:val="22"/>
        </w:rPr>
        <w:t xml:space="preserve">API-first mode for CI/CD integration.</w:t>
      </w:r>
    </w:p>
    <w:p>
      <w:pPr>
        <w:pStyle w:val="ListParagraph"/>
        <w:numPr>
          <w:ilvl w:val="0"/>
          <w:numId w:val="2"/>
        </w:numPr>
      </w:pPr>
      <w:r>
        <w:rPr>
          <w:rFonts w:ascii="Arial" w:cs="Arial" w:eastAsia="Arial" w:hAnsi="Arial"/>
          <w:sz w:val="22"/>
          <w:szCs w:val="22"/>
        </w:rPr>
        <w:t xml:space="preserve">Channel-specific suggestion tone.</w:t>
      </w:r>
    </w:p>
    <w:p>
      <w:pPr>
        <w:pStyle w:val="ListParagraph"/>
        <w:numPr>
          <w:ilvl w:val="0"/>
          <w:numId w:val="2"/>
        </w:numPr>
      </w:pPr>
      <w:r>
        <w:rPr>
          <w:rFonts w:ascii="Arial" w:cs="Arial" w:eastAsia="Arial" w:hAnsi="Arial"/>
          <w:sz w:val="22"/>
          <w:szCs w:val="22"/>
        </w:rPr>
        <w:t xml:space="preserve">Lightweight PII/PHI detection to warn users before submission.</w:t>
      </w:r>
    </w:p>
    <w:p>
      <w:pPr>
        <w:pStyle w:val="ListParagraph"/>
        <w:numPr>
          <w:ilvl w:val="0"/>
          <w:numId w:val="2"/>
        </w:numPr>
      </w:pPr>
      <w:r>
        <w:rPr>
          <w:rFonts w:ascii="Arial" w:cs="Arial" w:eastAsia="Arial" w:hAnsi="Arial"/>
          <w:sz w:val="22"/>
          <w:szCs w:val="22"/>
        </w:rPr>
        <w:t xml:space="preserve">HIPAA / 21 CFR Part 11 compliance posture.</w:t>
      </w:r>
    </w:p>
    <w:p>
      <w:pPr>
        <w:pStyle w:val="ListParagraph"/>
        <w:numPr>
          <w:ilvl w:val="0"/>
          <w:numId w:val="2"/>
        </w:numPr>
      </w:pPr>
      <w:r>
        <w:rPr>
          <w:rFonts w:ascii="Arial" w:cs="Arial" w:eastAsia="Arial" w:hAnsi="Arial"/>
          <w:sz w:val="22"/>
          <w:szCs w:val="22"/>
        </w:rPr>
        <w:t xml:space="preserve">SOC 2 Type II certification.</w:t>
      </w:r>
    </w:p>
    <w:p>
      <w:pPr>
        <w:pStyle w:val="Heading1"/>
      </w:pPr>
      <w:r>
        <w:t xml:space="preserve">16  Appendix A: Claude Integration Notes</w:t>
      </w:r>
    </w:p>
    <w:p>
      <w:pPr>
        <w:pStyle w:val="Heading2"/>
      </w:pPr>
      <w:r>
        <w:t xml:space="preserve">16.1  Prompt Architecture</w:t>
      </w:r>
    </w:p>
    <w:p>
      <w:pPr>
        <w:spacing w:after="120"/>
      </w:pPr>
      <w:r>
        <w:rPr>
          <w:rFonts w:ascii="Arial" w:cs="Arial" w:eastAsia="Arial" w:hAnsi="Arial"/>
          <w:sz w:val="22"/>
          <w:szCs w:val="22"/>
        </w:rPr>
        <w:t xml:space="preserve">Each backend function (extractClaims, matchToLibrary, checkRulesAndLabel, suggestRewording) uses a dedicated Claude system prompt. These prompts share a common preamble encoding the guardrail philosophy (Section 6) and are parameterized with the relevant Product Profile data retrieved by the in-app RAG layer.</w:t>
      </w:r>
    </w:p>
    <w:p>
      <w:pPr>
        <w:pStyle w:val="Heading2"/>
      </w:pPr>
      <w:r>
        <w:t xml:space="preserve">16.2  RAG Layer Design (v0)</w:t>
      </w:r>
    </w:p>
    <w:p>
      <w:pPr>
        <w:pStyle w:val="ListParagraph"/>
        <w:numPr>
          <w:ilvl w:val="0"/>
          <w:numId w:val="2"/>
        </w:numPr>
      </w:pPr>
      <w:r>
        <w:rPr>
          <w:rFonts w:ascii="Arial" w:cs="Arial" w:eastAsia="Arial" w:hAnsi="Arial"/>
          <w:sz w:val="22"/>
          <w:szCs w:val="22"/>
        </w:rPr>
        <w:t xml:space="preserve">On Product Profile save: the backend generates embeddings (via Claude or a lightweight embedding model) for each IFU paragraph, each core claim (with metadata), and each promo rule.</w:t>
      </w:r>
    </w:p>
    <w:p>
      <w:pPr>
        <w:pStyle w:val="ListParagraph"/>
        <w:numPr>
          <w:ilvl w:val="0"/>
          <w:numId w:val="2"/>
        </w:numPr>
      </w:pPr>
      <w:r>
        <w:rPr>
          <w:rFonts w:ascii="Arial" w:cs="Arial" w:eastAsia="Arial" w:hAnsi="Arial"/>
          <w:sz w:val="22"/>
          <w:szCs w:val="22"/>
        </w:rPr>
        <w:t xml:space="preserve">On analysis: before each Claude call that needs Product Profile context, the backend retrieves the top-k most relevant chunks using cosine similarity against the claim text.</w:t>
      </w:r>
    </w:p>
    <w:p>
      <w:pPr>
        <w:pStyle w:val="ListParagraph"/>
        <w:numPr>
          <w:ilvl w:val="0"/>
          <w:numId w:val="2"/>
        </w:numPr>
      </w:pPr>
      <w:r>
        <w:rPr>
          <w:rFonts w:ascii="Arial" w:cs="Arial" w:eastAsia="Arial" w:hAnsi="Arial"/>
          <w:sz w:val="22"/>
          <w:szCs w:val="22"/>
        </w:rPr>
        <w:t xml:space="preserve">This is a simple, in-process implementation. No external vector database is required for v0.</w:t>
      </w:r>
    </w:p>
    <w:p>
      <w:pPr>
        <w:pStyle w:val="Heading2"/>
      </w:pPr>
      <w:r>
        <w:t xml:space="preserve">16.3  Single-Request Pattern</w:t>
      </w:r>
    </w:p>
    <w:p>
      <w:pPr>
        <w:spacing w:after="120"/>
      </w:pPr>
      <w:r>
        <w:rPr>
          <w:rFonts w:ascii="Arial" w:cs="Arial" w:eastAsia="Arial" w:hAnsi="Arial"/>
          <w:sz w:val="22"/>
          <w:szCs w:val="22"/>
        </w:rPr>
        <w:t xml:space="preserve">The frontend makes a single POST to /analyze. The backend sequences the four functions internally, aggregates their outputs into the structured JSON schema (Section 7.3), and returns a single response. From the frontend’s perspective, the interaction is stateless: one request in, one result out. No content is persisted after the response.</w:t>
      </w:r>
    </w:p>
    <w:p>
      <w:pPr>
        <w:pStyle w:val="Heading2"/>
      </w:pPr>
      <w:r>
        <w:t xml:space="preserve">16.4  Cost &amp; Rate Controls</w:t>
      </w:r>
    </w:p>
    <w:p>
      <w:pPr>
        <w:pStyle w:val="ListParagraph"/>
        <w:numPr>
          <w:ilvl w:val="0"/>
          <w:numId w:val="2"/>
        </w:numPr>
      </w:pPr>
      <w:r>
        <w:rPr>
          <w:rFonts w:ascii="Arial" w:cs="Arial" w:eastAsia="Arial" w:hAnsi="Arial"/>
          <w:sz w:val="22"/>
          <w:szCs w:val="22"/>
        </w:rPr>
        <w:t xml:space="preserve">10,000-character input cap to limit tokens per analysis.</w:t>
      </w:r>
    </w:p>
    <w:p>
      <w:pPr>
        <w:pStyle w:val="ListParagraph"/>
        <w:numPr>
          <w:ilvl w:val="0"/>
          <w:numId w:val="2"/>
        </w:numPr>
      </w:pPr>
      <w:r>
        <w:rPr>
          <w:rFonts w:ascii="Arial" w:cs="Arial" w:eastAsia="Arial" w:hAnsi="Arial"/>
          <w:sz w:val="22"/>
          <w:szCs w:val="22"/>
        </w:rPr>
        <w:t xml:space="preserve">Backend rate-limits analysis requests per user/organization.</w:t>
      </w:r>
    </w:p>
    <w:p>
      <w:pPr>
        <w:pStyle w:val="ListParagraph"/>
        <w:numPr>
          <w:ilvl w:val="0"/>
          <w:numId w:val="2"/>
        </w:numPr>
      </w:pPr>
      <w:r>
        <w:rPr>
          <w:rFonts w:ascii="Arial" w:cs="Arial" w:eastAsia="Arial" w:hAnsi="Arial"/>
          <w:sz w:val="22"/>
          <w:szCs w:val="22"/>
        </w:rPr>
        <w:t xml:space="preserve">Claude API usage is monitored; alerts fire if per-analysis token usage exceeds expected thresholds.</w:t>
      </w:r>
    </w:p>
    <w:p>
      <w:pPr>
        <w:spacing w:after="120"/>
        <w:ind w:left="360"/>
      </w:pPr>
      <w:r>
        <w:rPr>
          <w:rFonts w:ascii="Arial" w:cs="Arial" w:eastAsia="Arial" w:hAnsi="Arial"/>
          <w:i/>
          <w:iCs/>
          <w:color w:val="555555"/>
          <w:sz w:val="20"/>
          <w:szCs w:val="20"/>
        </w:rPr>
        <w:t xml:space="preserve">v0.x+ roadmap: Caching of analysis results (via persisted AnalysisRun records) to avoid repeat Claude calls when re-displaying a previous analysis.</w:t>
      </w:r>
    </w:p>
    <w:p>
      <w:pPr>
        <w:pStyle w:val="Heading1"/>
      </w:pPr>
      <w:r>
        <w:t xml:space="preserve">17  Appendix B: Examples &amp; Test Cases</w:t>
      </w:r>
    </w:p>
    <w:p>
      <w:pPr>
        <w:spacing w:after="120"/>
      </w:pPr>
      <w:r>
        <w:rPr>
          <w:rFonts w:ascii="Arial" w:cs="Arial" w:eastAsia="Arial" w:hAnsi="Arial"/>
          <w:sz w:val="22"/>
          <w:szCs w:val="22"/>
        </w:rPr>
        <w:t xml:space="preserve">This appendix provides a concrete example of a Product Profile, a sample content snippet, the expected analysis output, and a reference table of risk patterns the system should detect.</w:t>
      </w:r>
    </w:p>
    <w:p>
      <w:pPr>
        <w:pStyle w:val="Heading2"/>
      </w:pPr>
      <w:r>
        <w:t xml:space="preserve">17.1  Example Product Profile</w:t>
      </w:r>
    </w:p>
    <w:p>
      <w:pPr>
        <w:spacing w:after="120"/>
      </w:pPr>
      <w:r>
        <w:rPr>
          <w:rFonts w:ascii="Arial" w:cs="Arial" w:eastAsia="Arial" w:hAnsi="Arial"/>
          <w:b/>
          <w:bCs/>
          <w:sz w:val="22"/>
          <w:szCs w:val="22"/>
        </w:rPr>
        <w:t xml:space="preserve">Device name: </w:t>
      </w:r>
      <w:r>
        <w:rPr>
          <w:rFonts w:ascii="Arial" w:cs="Arial" w:eastAsia="Arial" w:hAnsi="Arial"/>
          <w:sz w:val="22"/>
          <w:szCs w:val="22"/>
        </w:rPr>
        <w:t xml:space="preserve">ProPulse Peripheral Atherectomy Catheter</w:t>
      </w:r>
    </w:p>
    <w:p>
      <w:pPr>
        <w:spacing w:after="120"/>
      </w:pPr>
      <w:r>
        <w:rPr>
          <w:rFonts w:ascii="Arial" w:cs="Arial" w:eastAsia="Arial" w:hAnsi="Arial"/>
          <w:b/>
          <w:bCs/>
          <w:sz w:val="22"/>
          <w:szCs w:val="22"/>
        </w:rPr>
        <w:t xml:space="preserve">Device type: </w:t>
      </w:r>
      <w:r>
        <w:rPr>
          <w:rFonts w:ascii="Arial" w:cs="Arial" w:eastAsia="Arial" w:hAnsi="Arial"/>
          <w:sz w:val="22"/>
          <w:szCs w:val="22"/>
        </w:rPr>
        <w:t xml:space="preserve">Instrument</w:t>
      </w:r>
    </w:p>
    <w:p>
      <w:pPr>
        <w:spacing w:after="120"/>
      </w:pPr>
      <w:r>
        <w:rPr>
          <w:rFonts w:ascii="Arial" w:cs="Arial" w:eastAsia="Arial" w:hAnsi="Arial"/>
          <w:b/>
          <w:bCs/>
          <w:sz w:val="22"/>
          <w:szCs w:val="22"/>
        </w:rPr>
        <w:t xml:space="preserve">One-liner: </w:t>
      </w:r>
      <w:r>
        <w:rPr>
          <w:rFonts w:ascii="Arial" w:cs="Arial" w:eastAsia="Arial" w:hAnsi="Arial"/>
          <w:sz w:val="22"/>
          <w:szCs w:val="22"/>
        </w:rPr>
        <w:t xml:space="preserve">Rotational atherectomy catheter for peripheral artery disease.</w:t>
      </w:r>
    </w:p>
    <w:p>
      <w:pPr>
        <w:spacing w:after="60"/>
      </w:pPr>
    </w:p>
    <w:p>
      <w:pPr>
        <w:spacing w:after="120"/>
      </w:pPr>
      <w:r>
        <w:rPr>
          <w:rFonts w:ascii="Arial" w:cs="Arial" w:eastAsia="Arial" w:hAnsi="Arial"/>
          <w:b/>
          <w:bCs/>
          <w:sz w:val="22"/>
          <w:szCs w:val="22"/>
        </w:rPr>
        <w:t xml:space="preserve">Indication for use: </w:t>
      </w:r>
      <w:r>
        <w:rPr>
          <w:rFonts w:ascii="Arial" w:cs="Arial" w:eastAsia="Arial" w:hAnsi="Arial"/>
          <w:sz w:val="22"/>
          <w:szCs w:val="22"/>
        </w:rPr>
        <w:t xml:space="preserve">“The ProPulse Peripheral Atherectomy Catheter is indicated for use in atherectomy of the peripheral vasculature (i.e., the superficial femoral, popliteal, and infrapopliteal arteries). It is intended for use in symptomatic patients with peripheral artery disease (Rutherford categories 2–5) who are candidates for percutaneous intervention. The device is not indicated for use in the coronary, carotid, or renal vasculature.”</w:t>
      </w:r>
    </w:p>
    <w:p>
      <w:pPr>
        <w:spacing w:after="60"/>
      </w:pPr>
    </w:p>
    <w:p>
      <w:pPr>
        <w:spacing w:after="120"/>
      </w:pPr>
      <w:r>
        <w:rPr>
          <w:rFonts w:ascii="Arial" w:cs="Arial" w:eastAsia="Arial" w:hAnsi="Arial"/>
          <w:b/>
          <w:bCs/>
          <w:sz w:val="22"/>
          <w:szCs w:val="22"/>
        </w:rPr>
        <w:t xml:space="preserve">Core Claim #1 (Performance): </w:t>
      </w:r>
      <w:r>
        <w:rPr>
          <w:rFonts w:ascii="Arial" w:cs="Arial" w:eastAsia="Arial" w:hAnsi="Arial"/>
          <w:sz w:val="22"/>
          <w:szCs w:val="22"/>
        </w:rPr>
        <w:t xml:space="preserve">“The ProPulse Catheter reduced target-lesion procedure time by a mean of 38% compared to standard balloon angioplasty in the pivotal trial.” Evidence: Clinical. Reference: Smith et al., J Vasc Interv Radiol, 2022, N=250.</w:t>
      </w:r>
    </w:p>
    <w:p>
      <w:pPr>
        <w:spacing w:after="60"/>
      </w:pPr>
    </w:p>
    <w:p>
      <w:pPr>
        <w:spacing w:after="120"/>
      </w:pPr>
      <w:r>
        <w:rPr>
          <w:rFonts w:ascii="Arial" w:cs="Arial" w:eastAsia="Arial" w:hAnsi="Arial"/>
          <w:b/>
          <w:bCs/>
          <w:sz w:val="22"/>
          <w:szCs w:val="22"/>
        </w:rPr>
        <w:t xml:space="preserve">Core Claim #2 (Safety): </w:t>
      </w:r>
      <w:r>
        <w:rPr>
          <w:rFonts w:ascii="Arial" w:cs="Arial" w:eastAsia="Arial" w:hAnsi="Arial"/>
          <w:sz w:val="22"/>
          <w:szCs w:val="22"/>
        </w:rPr>
        <w:t xml:space="preserve">“In the pivotal trial, the rate of device-related serious adverse events was 2.1% through 30 days.” Evidence: Clinical. Reference: Smith et al., 2022, N=250.</w:t>
      </w:r>
    </w:p>
    <w:p>
      <w:pPr>
        <w:spacing w:after="60"/>
      </w:pPr>
    </w:p>
    <w:p>
      <w:pPr>
        <w:spacing w:after="120"/>
      </w:pPr>
      <w:r>
        <w:rPr>
          <w:rFonts w:ascii="Arial" w:cs="Arial" w:eastAsia="Arial" w:hAnsi="Arial"/>
          <w:b/>
          <w:bCs/>
          <w:sz w:val="22"/>
          <w:szCs w:val="22"/>
        </w:rPr>
        <w:t xml:space="preserve">Core Claim #3 (Procedural): </w:t>
      </w:r>
      <w:r>
        <w:rPr>
          <w:rFonts w:ascii="Arial" w:cs="Arial" w:eastAsia="Arial" w:hAnsi="Arial"/>
          <w:sz w:val="22"/>
          <w:szCs w:val="22"/>
        </w:rPr>
        <w:t xml:space="preserve">“The ProPulse Catheter is designed for use in peripheral vasculature, including the superficial femoral, popliteal, and infrapopliteal arteries.” Evidence: Label language. Reference: IFU Section 1.</w:t>
      </w:r>
    </w:p>
    <w:p>
      <w:pPr>
        <w:spacing w:after="60"/>
      </w:pPr>
    </w:p>
    <w:p>
      <w:pPr>
        <w:spacing w:after="120"/>
      </w:pPr>
      <w:r>
        <w:rPr>
          <w:rFonts w:ascii="Arial" w:cs="Arial" w:eastAsia="Arial" w:hAnsi="Arial"/>
          <w:b/>
          <w:bCs/>
          <w:sz w:val="22"/>
          <w:szCs w:val="22"/>
        </w:rPr>
        <w:t xml:space="preserve">Promo rules: </w:t>
      </w:r>
      <w:r>
        <w:rPr>
          <w:rFonts w:ascii="Arial" w:cs="Arial" w:eastAsia="Arial" w:hAnsi="Arial"/>
          <w:sz w:val="22"/>
          <w:szCs w:val="22"/>
        </w:rPr>
        <w:t xml:space="preserve">Defaults accepted (avoid superlatives; no diagnostic implication; no off-indication populations; risk balance required).</w:t>
      </w:r>
    </w:p>
    <w:p>
      <w:pPr>
        <w:pStyle w:val="Heading2"/>
      </w:pPr>
      <w:r>
        <w:t xml:space="preserve">17.2  Example Content Snippet</w:t>
      </w:r>
    </w:p>
    <w:p>
      <w:pPr>
        <w:spacing w:after="120"/>
      </w:pPr>
      <w:r>
        <w:rPr>
          <w:rFonts w:ascii="Arial" w:cs="Arial" w:eastAsia="Arial" w:hAnsi="Arial"/>
          <w:sz w:val="22"/>
          <w:szCs w:val="22"/>
        </w:rPr>
        <w:t xml:space="preserve">The following is a sample three-sentence marketing blurb that would be pasted into the Analyze screen:</w:t>
      </w:r>
    </w:p>
    <w:p>
      <w:pPr>
        <w:spacing w:after="60"/>
      </w:pPr>
    </w:p>
    <w:p>
      <w:pPr>
        <w:shd w:fill="F5F5F5" w:val="clear"/>
        <w:spacing w:after="120"/>
        <w:ind w:left="360" w:right="360"/>
      </w:pPr>
      <w:r>
        <w:rPr>
          <w:rFonts w:ascii="Arial" w:cs="Arial" w:eastAsia="Arial" w:hAnsi="Arial"/>
          <w:i/>
          <w:iCs/>
          <w:sz w:val="21"/>
          <w:szCs w:val="21"/>
        </w:rPr>
        <w:t xml:space="preserve">“The ProPulse Catheter reduces procedure time by up to 40%. It is the safest catheter on the market today. ProPulse is designed for use in peripheral and coronary vasculature.”</w:t>
      </w:r>
    </w:p>
    <w:p>
      <w:pPr>
        <w:pStyle w:val="Heading2"/>
      </w:pPr>
      <w:r>
        <w:t xml:space="preserve">17.3  Expected Analysis</w:t>
      </w:r>
    </w:p>
    <w:p>
      <w:pPr>
        <w:spacing w:after="120"/>
      </w:pPr>
      <w:r>
        <w:rPr>
          <w:rFonts w:ascii="Arial" w:cs="Arial" w:eastAsia="Arial" w:hAnsi="Arial"/>
          <w:sz w:val="22"/>
          <w:szCs w:val="22"/>
        </w:rPr>
        <w:t xml:space="preserve">The system should produce the following high-level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2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Sentence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Suggested Rewrite</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ProPulse Catheter reduces procedure time by up to 40%.</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E7D32"/>
                <w:sz w:val="20"/>
                <w:szCs w:val="20"/>
              </w:rPr>
              <w:t xml:space="preserve">Approved Match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(matches Core Claim #1)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is the safest catheter on the market today.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Overstated (superlative); Off-label (no comparative safety claim in IFU)</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ProPulse Catheter demonstrated a favorable safety profile in the pivotal trial (Smith 2022, N=250).”</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ProPulse is designed for use in peripheral and coronary vasculature.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Procedural</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E65100"/>
                <w:sz w:val="20"/>
                <w:szCs w:val="20"/>
              </w:rPr>
              <w:t xml:space="preserve">Variant</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Off-label (coronary vasculature not in cleared indication)</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“ProPulse is designed for use in peripheral vasculature, as described in the cleared indications for use.”</w:t>
            </w:r>
          </w:p>
        </w:tc>
      </w:tr>
    </w:tbl>
    <w:p>
      <w:pPr>
        <w:spacing w:after="60"/>
      </w:pP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3 claims detected · 1 approved · 1 variant · 1 new · 2 with issues.</w:t>
      </w:r>
    </w:p>
    <w:p>
      <w:pPr>
        <w:pStyle w:val="Heading2"/>
      </w:pPr>
      <w:r>
        <w:t xml:space="preserve">17.4  Risk Patterns Reference</w:t>
      </w:r>
    </w:p>
    <w:p>
      <w:pPr>
        <w:spacing w:after="120"/>
      </w:pPr>
      <w:r>
        <w:rPr>
          <w:rFonts w:ascii="Arial" w:cs="Arial" w:eastAsia="Arial" w:hAnsi="Arial"/>
          <w:sz w:val="22"/>
          <w:szCs w:val="22"/>
        </w:rPr>
        <w:t xml:space="preserve">The following table lists the key risk patterns the system should detect, each with a representative example sentence and the expected flag(s).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Pattern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Sentence</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Flag(s)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Superlative / absolute</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“Our device is the best solution for chronic limb ischemia.”</w:t>
            </w:r>
          </w:p>
        </w:tc>
        <w:tc>
          <w:tcPr>
            <w:tcW w:type="dxa" w:w="2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Overstated; Rule violation (“Avoid superlatives”)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New population / setting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“ProPulse has also shown promise in pediatric patients.”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Off-label (pediatric not in cleared indication)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Missing risk statement</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 500-word brochure with three benefit claims and zero mention of risks or limitations.</w:t>
            </w:r>
          </w:p>
        </w:tc>
        <w:tc>
          <w:tcPr>
            <w:tcW w:type="dxa" w:w="2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Missing risk balance (asset-level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Over-interpreting bench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“Clinically proven to reduce embolization risk” when the core claim cites bench data only.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Unclear evidence (bench evidence presented as clinical proof)</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Comparative without substantiation</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“ProPulse outperforms Device X in crossing chronic total occlusions.”</w:t>
            </w:r>
          </w:p>
        </w:tc>
        <w:tc>
          <w:tcPr>
            <w:tcW w:type="dxa" w:w="2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Rule violation (“Do not reference competitors without legal review”); Overstated</w:t>
            </w:r>
          </w:p>
        </w:tc>
      </w:tr>
    </w:tbl>
    <w:p>
      <w:pPr>
        <w:spacing w:after="60"/>
      </w:pPr>
    </w:p>
    <w:p>
      <w:pPr>
        <w:spacing w:after="120"/>
      </w:pPr>
      <w:r>
        <w:rPr>
          <w:rFonts w:ascii="Arial" w:cs="Arial" w:eastAsia="Arial" w:hAnsi="Arial"/>
          <w:sz w:val="22"/>
          <w:szCs w:val="22"/>
        </w:rPr>
        <w:t xml:space="preserve">These patterns form the basis of the QA test suite. Each pattern should be tested with at least two positive examples (content that should trigger the flag) and two negative examples (similar-sounding content that should not trigger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after="0"/>
    </w:pPr>
    <w:r>
      <w:rPr>
        <w:rFonts w:ascii="Arial" w:cs="Arial" w:eastAsia="Arial" w:hAnsi="Arial"/>
        <w:color w:val="888888"/>
        <w:sz w:val="16"/>
        <w:szCs w:val="16"/>
      </w:rPr>
      <w:t xml:space="preserve">MedTech MLR Copilot – v0 MVP  |  PRD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E8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7A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2026-02-18T18:47:18.076Z</dcterms:created>
  <dcterms:modified xsi:type="dcterms:W3CDTF">2026-02-18T18:47:18.076Z</dcterms:modified>
</cp:coreProperties>
</file>

<file path=docProps/custom.xml><?xml version="1.0" encoding="utf-8"?>
<Properties xmlns="http://schemas.openxmlformats.org/officeDocument/2006/custom-properties" xmlns:vt="http://schemas.openxmlformats.org/officeDocument/2006/docPropsVTypes"/>
</file>