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5334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33950"/>
                    </a:xfrm>
                    <a:prstGeom prst="rect">
                      <a:avLst/>
                    </a:prstGeom>
                  </pic:spPr>
                </pic:pic>
              </a:graphicData>
            </a:graphic>
          </wp:inline>
        </w:drawing>
      </w:r>
    </w:p>
    <w:p>
      <w:pPr>
        <w:spacing w:after="160"/>
      </w:pPr>
      <w:r>
        <w:t xml:space="preserve"/>
      </w:r>
    </w:p>
    <w:p>
      <w:pPr>
        <w:pBdr>
          <w:bottom w:val="double" w:color="000000" w:sz="8" w:space="4"/>
        </w:pBdr>
        <w:spacing w:after="200"/>
      </w:pPr>
      <w:r>
        <w:rPr>
          <w:sz w:val="4"/>
          <w:szCs w:val="4"/>
        </w:rPr>
        <w:t xml:space="preserve"/>
      </w:r>
    </w:p>
    <w:p>
      <w:pPr>
        <w:spacing w:after="120"/>
        <w:jc w:val="center"/>
      </w:pPr>
      <w:r>
        <w:rPr>
          <w:rFonts w:ascii="Arial" w:cs="Arial" w:eastAsia="Arial" w:hAnsi="Arial"/>
          <w:b/>
          <w:bCs/>
          <w:color w:val="000000"/>
          <w:sz w:val="42"/>
          <w:szCs w:val="42"/>
        </w:rPr>
        <w:t xml:space="preserve">PROJECT REPORT</w:t>
      </w:r>
    </w:p>
    <w:p>
      <w:pPr>
        <w:spacing w:after="80"/>
        <w:jc w:val="center"/>
      </w:pPr>
      <w:r>
        <w:rPr>
          <w:rFonts w:ascii="Arial" w:cs="Arial" w:eastAsia="Arial" w:hAnsi="Arial"/>
          <w:color w:val="555555"/>
          <w:sz w:val="30"/>
          <w:szCs w:val="30"/>
        </w:rPr>
        <w:t xml:space="preserve">ON</w:t>
      </w:r>
    </w:p>
    <w:p>
      <w:pPr>
        <w:spacing w:after="120"/>
        <w:jc w:val="center"/>
      </w:pPr>
      <w:r>
        <w:rPr>
          <w:rFonts w:ascii="Arial" w:cs="Arial" w:eastAsia="Arial" w:hAnsi="Arial"/>
          <w:b/>
          <w:bCs/>
          <w:color w:val="000000"/>
          <w:sz w:val="44"/>
          <w:szCs w:val="44"/>
        </w:rPr>
        <w:t xml:space="preserve">CUSTOMER &amp; SALES INSIGHTS</w:t>
      </w:r>
    </w:p>
    <w:p>
      <w:pPr>
        <w:spacing w:after="80"/>
        <w:jc w:val="center"/>
      </w:pPr>
      <w:r>
        <w:rPr>
          <w:rFonts w:ascii="Arial" w:cs="Arial" w:eastAsia="Arial" w:hAnsi="Arial"/>
          <w:color w:val="555555"/>
          <w:sz w:val="22"/>
          <w:szCs w:val="22"/>
        </w:rPr>
        <w:t xml:space="preserve">(Diwali Festive Season — Exploratory Data Analysis)</w:t>
      </w:r>
    </w:p>
    <w:p>
      <w:pPr>
        <w:pBdr>
          <w:top w:val="double" w:color="000000" w:sz="8" w:space="4"/>
        </w:pBdr>
        <w:spacing w:after="240" w:before="160"/>
      </w:pPr>
      <w:r>
        <w:rPr>
          <w:sz w:val="4"/>
          <w:szCs w:val="4"/>
        </w:rPr>
        <w:t xml:space="preserve"/>
      </w:r>
    </w:p>
    <w:p>
      <w:pPr>
        <w:spacing w:after="100"/>
        <w:jc w:val="center"/>
      </w:pPr>
      <w:r>
        <w:rPr>
          <w:rFonts w:ascii="Arial" w:cs="Arial" w:eastAsia="Arial" w:hAnsi="Arial"/>
          <w:b/>
          <w:bCs/>
          <w:color w:val="000000"/>
          <w:sz w:val="24"/>
          <w:szCs w:val="24"/>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Student Name</w:t>
            </w:r>
          </w:p>
        </w:tc>
        <w:tc>
          <w:tcPr>
            <w:tcW w:type="dxa" w:w="432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Admission Number</w:t>
            </w:r>
          </w:p>
        </w:tc>
      </w:tr>
      <w:tr>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Adarsh Kumar</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23SCSE1011351</w:t>
            </w:r>
          </w:p>
        </w:tc>
      </w:tr>
      <w:tr>
        <w:tc>
          <w:tcPr>
            <w:tcW w:type="dxa" w:w="5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Animesh Bhardwaj</w:t>
            </w:r>
          </w:p>
        </w:tc>
        <w:tc>
          <w:tcPr>
            <w:tcW w:type="dxa" w:w="43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23SCSE1011119</w:t>
            </w:r>
          </w:p>
        </w:tc>
      </w:tr>
      <w:tr>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Karnjeet Kumar Singh</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23SCSE1011110</w:t>
            </w:r>
          </w:p>
        </w:tc>
      </w:tr>
      <w:tr>
        <w:tc>
          <w:tcPr>
            <w:tcW w:type="dxa" w:w="5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Anmol Ranjan</w:t>
            </w:r>
          </w:p>
        </w:tc>
        <w:tc>
          <w:tcPr>
            <w:tcW w:type="dxa" w:w="43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23SCSE1011337</w:t>
            </w:r>
          </w:p>
        </w:tc>
      </w:tr>
      <w:tr>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Tamir Ansari</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23SCSE1011473</w:t>
            </w:r>
          </w:p>
        </w:tc>
      </w:tr>
    </w:tbl>
    <w:p>
      <w:pPr>
        <w:spacing w:after="160"/>
      </w:pPr>
      <w:r>
        <w:t xml:space="preserve"/>
      </w:r>
    </w:p>
    <w:p>
      <w:pPr>
        <w:spacing w:after="60"/>
        <w:jc w:val="center"/>
      </w:pPr>
      <w:r>
        <w:rPr>
          <w:rFonts w:ascii="Arial" w:cs="Arial" w:eastAsia="Arial" w:hAnsi="Arial"/>
          <w:color w:val="222222"/>
          <w:sz w:val="21"/>
          <w:szCs w:val="21"/>
        </w:rPr>
        <w:t xml:space="preserve">School of Computing Science and Engineering</w:t>
      </w:r>
    </w:p>
    <w:p>
      <w:pPr>
        <w:spacing w:after="60"/>
        <w:jc w:val="center"/>
      </w:pPr>
      <w:r>
        <w:rPr>
          <w:rFonts w:ascii="Arial" w:cs="Arial" w:eastAsia="Arial" w:hAnsi="Arial"/>
          <w:color w:val="222222"/>
          <w:sz w:val="21"/>
          <w:szCs w:val="21"/>
        </w:rPr>
        <w:t xml:space="preserve">Department of Computer Science and Engineering</w:t>
      </w:r>
    </w:p>
    <w:p>
      <w:pPr>
        <w:spacing w:after="60"/>
        <w:jc w:val="center"/>
      </w:pPr>
      <w:r>
        <w:rPr>
          <w:rFonts w:ascii="Arial" w:cs="Arial" w:eastAsia="Arial" w:hAnsi="Arial"/>
          <w:b/>
          <w:bCs/>
          <w:color w:val="000000"/>
          <w:sz w:val="21"/>
          <w:szCs w:val="21"/>
        </w:rPr>
        <w:t xml:space="preserve">Galgotias University, Greater Noida</w:t>
      </w:r>
    </w:p>
    <w:p>
      <w:pPr>
        <w:jc w:val="center"/>
      </w:pPr>
      <w:r>
        <w:rPr>
          <w:rFonts w:ascii="Arial" w:cs="Arial" w:eastAsia="Arial" w:hAnsi="Arial"/>
          <w:color w:val="555555"/>
          <w:sz w:val="21"/>
          <w:szCs w:val="21"/>
        </w:rPr>
        <w:t xml:space="preserve">Academic Year 2024-25</w:t>
      </w:r>
    </w:p>
    <w:p>
      <w:r>
        <w:br w:type="page"/>
      </w:r>
    </w:p>
    <w:p>
      <w:pPr>
        <w:sectPr>
          <w:pgSz w:w="12240" w:h="15840" w:orient="portrait"/>
          <w:pgMar w:top="720" w:right="1080" w:bottom="720" w:left="1080" w:header="708" w:footer="708" w:gutter="0"/>
          <w:pgNumType/>
          <w:docGrid w:linePitch="360"/>
        </w:sectPr>
      </w:pPr>
    </w:p>
    <w:p>
      <w:pPr>
        <w:pStyle w:val="Heading1"/>
        <w:pBdr>
          <w:bottom w:val="single" w:color="000000" w:sz="4" w:space="6"/>
        </w:pBdr>
        <w:spacing w:after="180" w:before="400"/>
      </w:pPr>
      <w:r>
        <w:rPr>
          <w:rFonts w:ascii="Arial" w:cs="Arial" w:eastAsia="Arial" w:hAnsi="Arial"/>
          <w:b/>
          <w:bCs/>
          <w:color w:val="000000"/>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 Executive Summary</w:t>
      </w:r>
    </w:p>
    <w:p>
      <w:pPr>
        <w:spacing w:after="140" w:line="340"/>
        <w:jc w:val="both"/>
      </w:pPr>
      <w:r>
        <w:rPr>
          <w:rFonts w:ascii="Arial" w:cs="Arial" w:eastAsia="Arial" w:hAnsi="Arial"/>
          <w:color w:val="222222"/>
          <w:sz w:val="21"/>
          <w:szCs w:val="21"/>
        </w:rPr>
        <w:t xml:space="preserve">This report presents a comprehensive Exploratory Data Analysis (EDA) of sales data collected during the Diwali festive season in India. The study — titled Customer &amp; Sales Insights — examines thousands of consumer transactions spanning multiple Indian states, demographic profiles, professional sectors, and product categories. The overarching goal is to identify the key buyer personas, high-revenue market segments, top-performing geographies, and best-selling product categories to inform data-driven business decisions.</w:t>
      </w:r>
    </w:p>
    <w:p>
      <w:pPr>
        <w:spacing w:after="140" w:line="340"/>
        <w:jc w:val="both"/>
      </w:pPr>
      <w:r>
        <w:rPr>
          <w:rFonts w:ascii="Arial" w:cs="Arial" w:eastAsia="Arial" w:hAnsi="Arial"/>
          <w:color w:val="222222"/>
          <w:sz w:val="21"/>
          <w:szCs w:val="21"/>
        </w:rPr>
        <w:t xml:space="preserve">The dataset was processed using Python's data science stack: Pandas for data manipulation, Matplotlib and Seaborn for visualization. Following rigorous data cleaning — including removal of null values, type corrections, and dropping irrelevant columns — a high-quality dataset was prepared for multi-dimensional analysis.</w:t>
      </w:r>
    </w:p>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KEY FINDING: Married women aged 26-35 from UP, Maharashtra &amp; Karnataka in IT, Healthcare, and Aviation are the highest-value customer segment.</w:t>
      </w:r>
    </w:p>
    <w:p>
      <w:pPr>
        <w:spacing w:after="160"/>
      </w:pPr>
      <w:r>
        <w:t xml:space="preserve"/>
      </w:r>
    </w:p>
    <w:p>
      <w:pPr>
        <w:pStyle w:val="Heading2"/>
        <w:spacing w:after="140" w:before="300"/>
      </w:pPr>
      <w:r>
        <w:rPr>
          <w:rFonts w:ascii="Arial" w:cs="Arial" w:eastAsia="Arial" w:hAnsi="Arial"/>
          <w:b/>
          <w:bCs/>
          <w:color w:val="222222"/>
          <w:sz w:val="26"/>
          <w:szCs w:val="26"/>
        </w:rPr>
        <w:t xml:space="preserve">1.1 Summary of Key Insights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440"/>
      </w:tblGrid>
      <w:tr>
        <w:trPr>
          <w:tblHeader/>
        </w:trPr>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Dimension</w:t>
            </w:r>
          </w:p>
        </w:tc>
        <w:tc>
          <w:tcPr>
            <w:tcW w:type="dxa" w:w="3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Key Finding</w:t>
            </w:r>
          </w:p>
        </w:tc>
        <w:tc>
          <w:tcPr>
            <w:tcW w:type="dxa" w:w="44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Business Implication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Gender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Female buyers dominate count &amp; spend</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Target female-centric campaigns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Age Group</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26-35 yrs is top spending bracket</w:t>
            </w:r>
          </w:p>
        </w:tc>
        <w:tc>
          <w:tcPr>
            <w:tcW w:type="dxa" w:w="4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Focus marketing on millennials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Marital Status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Married women spend the most</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Premium product positioning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Geography</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UP, Maharashtra, Karnataka lead</w:t>
            </w:r>
          </w:p>
        </w:tc>
        <w:tc>
          <w:tcPr>
            <w:tcW w:type="dxa" w:w="4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Prioritize inventory in these states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Occupation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IT, Healthcare, Aviation top sectors</w:t>
            </w:r>
          </w:p>
        </w:tc>
        <w:tc>
          <w:tcPr>
            <w:tcW w:type="dxa" w:w="4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Premium digital &amp; lifestyle products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Product Category</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Food, Clothing, Electronics top-3</w:t>
            </w:r>
          </w:p>
        </w:tc>
        <w:tc>
          <w:tcPr>
            <w:tcW w:type="dxa" w:w="4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Bundle offers across categories</w:t>
            </w:r>
          </w:p>
        </w:tc>
      </w:tr>
    </w:tbl>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2. Introduction</w:t>
      </w:r>
    </w:p>
    <w:p>
      <w:pPr>
        <w:pStyle w:val="Heading2"/>
        <w:spacing w:after="140" w:before="300"/>
      </w:pPr>
      <w:r>
        <w:rPr>
          <w:rFonts w:ascii="Arial" w:cs="Arial" w:eastAsia="Arial" w:hAnsi="Arial"/>
          <w:b/>
          <w:bCs/>
          <w:color w:val="222222"/>
          <w:sz w:val="26"/>
          <w:szCs w:val="26"/>
        </w:rPr>
        <w:t xml:space="preserve">2.1 Background &amp; Context</w:t>
      </w:r>
    </w:p>
    <w:p>
      <w:pPr>
        <w:spacing w:after="140" w:line="340"/>
        <w:jc w:val="both"/>
      </w:pPr>
      <w:r>
        <w:rPr>
          <w:rFonts w:ascii="Arial" w:cs="Arial" w:eastAsia="Arial" w:hAnsi="Arial"/>
          <w:color w:val="222222"/>
          <w:sz w:val="21"/>
          <w:szCs w:val="21"/>
        </w:rPr>
        <w:t xml:space="preserve">Diwali, the Festival of Lights, is one of India's most celebrated and commercially significant occasions. It marks a period of heightened consumer spending across virtually every product category — from traditional sweets and clothing to electronics and home goods. Businesses across India plan major sales campaigns, promotional events, and inventory restocking around this festive period, making it one of the most critical commercial windows of the year.</w:t>
      </w:r>
    </w:p>
    <w:p>
      <w:pPr>
        <w:spacing w:after="140" w:line="340"/>
        <w:jc w:val="both"/>
      </w:pPr>
      <w:r>
        <w:rPr>
          <w:rFonts w:ascii="Arial" w:cs="Arial" w:eastAsia="Arial" w:hAnsi="Arial"/>
          <w:color w:val="222222"/>
          <w:sz w:val="21"/>
          <w:szCs w:val="21"/>
        </w:rPr>
        <w:t xml:space="preserve">Understanding consumer behaviour during Diwali is essential for retailers, e-commerce platforms, and FMCG brands to optimize their marketing spend, inventory management, and customer targeting strategies. This project — Customer &amp; Sales Insights — leverages real transaction data to derive actionable intelligence from the Diwali sales season.</w:t>
      </w:r>
    </w:p>
    <w:p>
      <w:pPr>
        <w:pStyle w:val="Heading2"/>
        <w:spacing w:after="140" w:before="300"/>
      </w:pPr>
      <w:r>
        <w:rPr>
          <w:rFonts w:ascii="Arial" w:cs="Arial" w:eastAsia="Arial" w:hAnsi="Arial"/>
          <w:b/>
          <w:bCs/>
          <w:color w:val="222222"/>
          <w:sz w:val="26"/>
          <w:szCs w:val="26"/>
        </w:rPr>
        <w:t xml:space="preserve">2.2 Problem Statement</w:t>
      </w:r>
    </w:p>
    <w:p>
      <w:pPr>
        <w:spacing w:after="140" w:line="340"/>
        <w:jc w:val="both"/>
      </w:pPr>
      <w:r>
        <w:rPr>
          <w:rFonts w:ascii="Arial" w:cs="Arial" w:eastAsia="Arial" w:hAnsi="Arial"/>
          <w:color w:val="222222"/>
          <w:sz w:val="21"/>
          <w:szCs w:val="21"/>
        </w:rPr>
        <w:t xml:space="preserve">Despite significant investment in festive marketing, many businesses struggle to identify which customer segments drive the most revenue, which geographies deserve greater focus, and which product categories should be promoted most aggressively. This project addresses these challenges by conducting a systematic exploratory analysis of Diwali sales data to bridge the gap between raw data and strategic action.</w:t>
      </w:r>
    </w:p>
    <w:p>
      <w:pPr>
        <w:pStyle w:val="Heading2"/>
        <w:spacing w:after="140" w:before="300"/>
      </w:pPr>
      <w:r>
        <w:rPr>
          <w:rFonts w:ascii="Arial" w:cs="Arial" w:eastAsia="Arial" w:hAnsi="Arial"/>
          <w:b/>
          <w:bCs/>
          <w:color w:val="222222"/>
          <w:sz w:val="26"/>
          <w:szCs w:val="26"/>
        </w:rPr>
        <w:t xml:space="preserve">2.3 Objectives of the Study</w:t>
      </w:r>
    </w:p>
    <w:p>
      <w:pPr>
        <w:pStyle w:val="ListParagraph"/>
        <w:numPr>
          <w:ilvl w:val="0"/>
          <w:numId w:val="2"/>
        </w:numPr>
        <w:spacing w:after="80"/>
      </w:pPr>
      <w:r>
        <w:rPr>
          <w:rFonts w:ascii="Arial" w:cs="Arial" w:eastAsia="Arial" w:hAnsi="Arial"/>
          <w:color w:val="222222"/>
          <w:sz w:val="21"/>
          <w:szCs w:val="21"/>
        </w:rPr>
        <w:t xml:space="preserve">To analyze gender-based purchasing patterns and spending power during Diwali.</w:t>
      </w:r>
    </w:p>
    <w:p>
      <w:pPr>
        <w:pStyle w:val="ListParagraph"/>
        <w:numPr>
          <w:ilvl w:val="0"/>
          <w:numId w:val="2"/>
        </w:numPr>
        <w:spacing w:after="80"/>
      </w:pPr>
      <w:r>
        <w:rPr>
          <w:rFonts w:ascii="Arial" w:cs="Arial" w:eastAsia="Arial" w:hAnsi="Arial"/>
          <w:color w:val="222222"/>
          <w:sz w:val="21"/>
          <w:szCs w:val="21"/>
        </w:rPr>
        <w:t xml:space="preserve">To identify the most active age groups in terms of transaction volume and purchase value.</w:t>
      </w:r>
    </w:p>
    <w:p>
      <w:pPr>
        <w:pStyle w:val="ListParagraph"/>
        <w:numPr>
          <w:ilvl w:val="0"/>
          <w:numId w:val="2"/>
        </w:numPr>
        <w:spacing w:after="80"/>
      </w:pPr>
      <w:r>
        <w:rPr>
          <w:rFonts w:ascii="Arial" w:cs="Arial" w:eastAsia="Arial" w:hAnsi="Arial"/>
          <w:color w:val="222222"/>
          <w:sz w:val="21"/>
          <w:szCs w:val="21"/>
        </w:rPr>
        <w:t xml:space="preserve">To map state-level sales performance and identify high-priority geographies.</w:t>
      </w:r>
    </w:p>
    <w:p>
      <w:pPr>
        <w:pStyle w:val="ListParagraph"/>
        <w:numPr>
          <w:ilvl w:val="0"/>
          <w:numId w:val="2"/>
        </w:numPr>
        <w:spacing w:after="80"/>
      </w:pPr>
      <w:r>
        <w:rPr>
          <w:rFonts w:ascii="Arial" w:cs="Arial" w:eastAsia="Arial" w:hAnsi="Arial"/>
          <w:color w:val="222222"/>
          <w:sz w:val="21"/>
          <w:szCs w:val="21"/>
        </w:rPr>
        <w:t xml:space="preserve">To study the impact of marital status on purchasing behavior and average order value.</w:t>
      </w:r>
    </w:p>
    <w:p>
      <w:pPr>
        <w:pStyle w:val="ListParagraph"/>
        <w:numPr>
          <w:ilvl w:val="0"/>
          <w:numId w:val="2"/>
        </w:numPr>
        <w:spacing w:after="80"/>
      </w:pPr>
      <w:r>
        <w:rPr>
          <w:rFonts w:ascii="Arial" w:cs="Arial" w:eastAsia="Arial" w:hAnsi="Arial"/>
          <w:color w:val="222222"/>
          <w:sz w:val="21"/>
          <w:szCs w:val="21"/>
        </w:rPr>
        <w:t xml:space="preserve">To examine the relationship between buyer occupation and spending patterns.</w:t>
      </w:r>
    </w:p>
    <w:p>
      <w:pPr>
        <w:pStyle w:val="ListParagraph"/>
        <w:numPr>
          <w:ilvl w:val="0"/>
          <w:numId w:val="2"/>
        </w:numPr>
        <w:spacing w:after="80"/>
      </w:pPr>
      <w:r>
        <w:rPr>
          <w:rFonts w:ascii="Arial" w:cs="Arial" w:eastAsia="Arial" w:hAnsi="Arial"/>
          <w:color w:val="222222"/>
          <w:sz w:val="21"/>
          <w:szCs w:val="21"/>
        </w:rPr>
        <w:t xml:space="preserve">To identify the top-selling product categories and individual SKUs.</w:t>
      </w:r>
    </w:p>
    <w:p>
      <w:pPr>
        <w:pStyle w:val="ListParagraph"/>
        <w:numPr>
          <w:ilvl w:val="0"/>
          <w:numId w:val="2"/>
        </w:numPr>
        <w:spacing w:after="80"/>
      </w:pPr>
      <w:r>
        <w:rPr>
          <w:rFonts w:ascii="Arial" w:cs="Arial" w:eastAsia="Arial" w:hAnsi="Arial"/>
          <w:color w:val="222222"/>
          <w:sz w:val="21"/>
          <w:szCs w:val="21"/>
        </w:rPr>
        <w:t xml:space="preserve">To construct a comprehensive buyer persona from multi-dimensional analysis.</w:t>
      </w:r>
    </w:p>
    <w:p>
      <w:pPr>
        <w:pStyle w:val="ListParagraph"/>
        <w:numPr>
          <w:ilvl w:val="0"/>
          <w:numId w:val="2"/>
        </w:numPr>
        <w:spacing w:after="80"/>
      </w:pPr>
      <w:r>
        <w:rPr>
          <w:rFonts w:ascii="Arial" w:cs="Arial" w:eastAsia="Arial" w:hAnsi="Arial"/>
          <w:color w:val="222222"/>
          <w:sz w:val="21"/>
          <w:szCs w:val="21"/>
        </w:rPr>
        <w:t xml:space="preserve">To provide strategic business recommendations grounded in analytical evidence.</w:t>
      </w:r>
    </w:p>
    <w:p>
      <w:pPr>
        <w:pStyle w:val="Heading2"/>
        <w:spacing w:after="140" w:before="300"/>
      </w:pPr>
      <w:r>
        <w:rPr>
          <w:rFonts w:ascii="Arial" w:cs="Arial" w:eastAsia="Arial" w:hAnsi="Arial"/>
          <w:b/>
          <w:bCs/>
          <w:color w:val="222222"/>
          <w:sz w:val="26"/>
          <w:szCs w:val="26"/>
        </w:rPr>
        <w:t xml:space="preserve">2.4 Scope of the Analysis</w:t>
      </w:r>
    </w:p>
    <w:p>
      <w:pPr>
        <w:spacing w:after="140" w:line="340"/>
        <w:jc w:val="both"/>
      </w:pPr>
      <w:r>
        <w:rPr>
          <w:rFonts w:ascii="Arial" w:cs="Arial" w:eastAsia="Arial" w:hAnsi="Arial"/>
          <w:color w:val="222222"/>
          <w:sz w:val="21"/>
          <w:szCs w:val="21"/>
        </w:rPr>
        <w:t xml:space="preserve">This study covers all transactions recorded in the Diwali Sales dataset, focusing on the Indian domestic market. It considers key demographic variables (gender, age group, marital status), geographic variables (state, zone), professional variables (occupation), and transactional variables (product category, product ID, order count, purchase amount). Time-series analysis and return/refund data are outside the scope of the current dataset.</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3. Research Methodology</w:t>
      </w:r>
    </w:p>
    <w:p>
      <w:pPr>
        <w:pStyle w:val="Heading2"/>
        <w:spacing w:after="140" w:before="300"/>
      </w:pPr>
      <w:r>
        <w:rPr>
          <w:rFonts w:ascii="Arial" w:cs="Arial" w:eastAsia="Arial" w:hAnsi="Arial"/>
          <w:b/>
          <w:bCs/>
          <w:color w:val="222222"/>
          <w:sz w:val="26"/>
          <w:szCs w:val="26"/>
        </w:rPr>
        <w:t xml:space="preserve">3.1 Research Design</w:t>
      </w:r>
    </w:p>
    <w:p>
      <w:pPr>
        <w:spacing w:after="140" w:line="340"/>
        <w:jc w:val="both"/>
      </w:pPr>
      <w:r>
        <w:rPr>
          <w:rFonts w:ascii="Arial" w:cs="Arial" w:eastAsia="Arial" w:hAnsi="Arial"/>
          <w:color w:val="222222"/>
          <w:sz w:val="21"/>
          <w:szCs w:val="21"/>
        </w:rPr>
        <w:t xml:space="preserve">This study follows a descriptive and exploratory research design. The primary data source is the Diwali Sales Data CSV file containing structured transactional records. The analysis is quantitative in nature, relying on statistical summaries, grouped aggregations, and visual analysis using Python-based tools to draw conclusions about consumer behaviour.</w:t>
      </w:r>
    </w:p>
    <w:p>
      <w:pPr>
        <w:pStyle w:val="Heading2"/>
        <w:spacing w:after="140" w:before="300"/>
      </w:pPr>
      <w:r>
        <w:rPr>
          <w:rFonts w:ascii="Arial" w:cs="Arial" w:eastAsia="Arial" w:hAnsi="Arial"/>
          <w:b/>
          <w:bCs/>
          <w:color w:val="222222"/>
          <w:sz w:val="26"/>
          <w:szCs w:val="26"/>
        </w:rPr>
        <w:t xml:space="preserve">3.2 Tools and Technologies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40"/>
      </w:tblGrid>
      <w:tr>
        <w:trPr>
          <w:tblHeader/>
        </w:trPr>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Tool / Library</w:t>
            </w:r>
          </w:p>
        </w:tc>
        <w:tc>
          <w:tcPr>
            <w:tcW w:type="dxa" w:w="1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Version</w:t>
            </w:r>
          </w:p>
        </w:tc>
        <w:tc>
          <w:tcPr>
            <w:tcW w:type="dxa" w:w="5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3.x</w:t>
            </w:r>
          </w:p>
        </w:tc>
        <w:tc>
          <w:tcPr>
            <w:tcW w:type="dxa" w:w="5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Core programming language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Pandas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Latest</w:t>
            </w:r>
          </w:p>
        </w:tc>
        <w:tc>
          <w:tcPr>
            <w:tcW w:type="dxa" w:w="5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Data loading, cleaning,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NumPy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Latest</w:t>
            </w:r>
          </w:p>
        </w:tc>
        <w:tc>
          <w:tcPr>
            <w:tcW w:type="dxa" w:w="5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Numerical computations and array operations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Matplotlib</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Latest</w:t>
            </w:r>
          </w:p>
        </w:tc>
        <w:tc>
          <w:tcPr>
            <w:tcW w:type="dxa" w:w="5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Primary data visualization (bar charts, figures)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Seaborn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Latest</w:t>
            </w:r>
          </w:p>
        </w:tc>
        <w:tc>
          <w:tcPr>
            <w:tcW w:type="dxa" w:w="5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Statistical data visualization (countplot, barplot)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Jupyter Notebook</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Latest</w:t>
            </w:r>
          </w:p>
        </w:tc>
        <w:tc>
          <w:tcPr>
            <w:tcW w:type="dxa" w:w="5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Interactive development environment</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3.3 Data Collection</w:t>
      </w:r>
    </w:p>
    <w:p>
      <w:pPr>
        <w:spacing w:after="140" w:line="340"/>
        <w:jc w:val="both"/>
      </w:pPr>
      <w:r>
        <w:rPr>
          <w:rFonts w:ascii="Arial" w:cs="Arial" w:eastAsia="Arial" w:hAnsi="Arial"/>
          <w:color w:val="222222"/>
          <w:sz w:val="21"/>
          <w:szCs w:val="21"/>
        </w:rPr>
        <w:t xml:space="preserve">The dataset used is 'Diwali Sales Data.csv', loaded into a Pandas DataFrame using read_csv() with unicode_escape encoding to handle special characters present in Indian names and product descriptions. The dataset encapsulates real transactional data capturing purchase behavior across multiple Indian states during the Diwali period.</w:t>
      </w:r>
    </w:p>
    <w:p>
      <w:pPr>
        <w:pStyle w:val="Heading2"/>
        <w:spacing w:after="140" w:before="300"/>
      </w:pPr>
      <w:r>
        <w:rPr>
          <w:rFonts w:ascii="Arial" w:cs="Arial" w:eastAsia="Arial" w:hAnsi="Arial"/>
          <w:b/>
          <w:bCs/>
          <w:color w:val="222222"/>
          <w:sz w:val="26"/>
          <w:szCs w:val="26"/>
        </w:rPr>
        <w:t xml:space="preserve">3.4 Data Cleaning Process</w:t>
      </w:r>
    </w:p>
    <w:p>
      <w:pPr>
        <w:spacing w:after="140" w:line="340"/>
        <w:jc w:val="both"/>
      </w:pPr>
      <w:r>
        <w:rPr>
          <w:rFonts w:ascii="Arial" w:cs="Arial" w:eastAsia="Arial" w:hAnsi="Arial"/>
          <w:color w:val="222222"/>
          <w:sz w:val="21"/>
          <w:szCs w:val="21"/>
        </w:rPr>
        <w:t xml:space="preserve">A rigorous data cleaning pipeline was executed to ensure analytical accuracy before any EDA was conducted:</w:t>
      </w:r>
    </w:p>
    <w:p>
      <w:pPr>
        <w:pStyle w:val="ListParagraph"/>
        <w:numPr>
          <w:ilvl w:val="0"/>
          <w:numId w:val="3"/>
        </w:numPr>
        <w:spacing w:after="80"/>
      </w:pPr>
      <w:r>
        <w:rPr>
          <w:rFonts w:ascii="Arial" w:cs="Arial" w:eastAsia="Arial" w:hAnsi="Arial"/>
          <w:color w:val="222222"/>
          <w:sz w:val="21"/>
          <w:szCs w:val="21"/>
        </w:rPr>
        <w:t xml:space="preserve">Irrelevant columns dropped: 'Status' and 'unnamed1' columns were identified as analytically irrelevant and removed using df.drop().</w:t>
      </w:r>
    </w:p>
    <w:p>
      <w:pPr>
        <w:pStyle w:val="ListParagraph"/>
        <w:numPr>
          <w:ilvl w:val="0"/>
          <w:numId w:val="3"/>
        </w:numPr>
        <w:spacing w:after="80"/>
      </w:pPr>
      <w:r>
        <w:rPr>
          <w:rFonts w:ascii="Arial" w:cs="Arial" w:eastAsia="Arial" w:hAnsi="Arial"/>
          <w:color w:val="222222"/>
          <w:sz w:val="21"/>
          <w:szCs w:val="21"/>
        </w:rPr>
        <w:t xml:space="preserve">Null value treatment: All rows containing missing values were detected via pd.isnull().sum() and removed using df.dropna() to prevent skewed computations.</w:t>
      </w:r>
    </w:p>
    <w:p>
      <w:pPr>
        <w:pStyle w:val="ListParagraph"/>
        <w:numPr>
          <w:ilvl w:val="0"/>
          <w:numId w:val="3"/>
        </w:numPr>
        <w:spacing w:after="80"/>
      </w:pPr>
      <w:r>
        <w:rPr>
          <w:rFonts w:ascii="Arial" w:cs="Arial" w:eastAsia="Arial" w:hAnsi="Arial"/>
          <w:color w:val="222222"/>
          <w:sz w:val="21"/>
          <w:szCs w:val="21"/>
        </w:rPr>
        <w:t xml:space="preserve">Data type correction: The 'Amount' column was cast from float to integer using astype('int') for consistent numerical operations.</w:t>
      </w:r>
    </w:p>
    <w:p>
      <w:pPr>
        <w:pStyle w:val="ListParagraph"/>
        <w:numPr>
          <w:ilvl w:val="0"/>
          <w:numId w:val="3"/>
        </w:numPr>
        <w:spacing w:after="80"/>
      </w:pPr>
      <w:r>
        <w:rPr>
          <w:rFonts w:ascii="Arial" w:cs="Arial" w:eastAsia="Arial" w:hAnsi="Arial"/>
          <w:color w:val="222222"/>
          <w:sz w:val="21"/>
          <w:szCs w:val="21"/>
        </w:rPr>
        <w:t xml:space="preserve">Column verification: df.columns was used to audit the full column list before proceeding to EDA.</w:t>
      </w:r>
    </w:p>
    <w:p>
      <w:pPr>
        <w:pStyle w:val="ListParagraph"/>
        <w:numPr>
          <w:ilvl w:val="0"/>
          <w:numId w:val="3"/>
        </w:numPr>
        <w:spacing w:after="80"/>
      </w:pPr>
      <w:r>
        <w:rPr>
          <w:rFonts w:ascii="Arial" w:cs="Arial" w:eastAsia="Arial" w:hAnsi="Arial"/>
          <w:color w:val="222222"/>
          <w:sz w:val="21"/>
          <w:szCs w:val="21"/>
        </w:rPr>
        <w:t xml:space="preserve">Structural validation: df.shape and df.info() were used to confirm dataset dimensions and data types post-cleaning.</w:t>
      </w:r>
    </w:p>
    <w:p>
      <w:pPr>
        <w:pStyle w:val="Heading2"/>
        <w:spacing w:after="140" w:before="300"/>
      </w:pPr>
      <w:r>
        <w:rPr>
          <w:rFonts w:ascii="Arial" w:cs="Arial" w:eastAsia="Arial" w:hAnsi="Arial"/>
          <w:b/>
          <w:bCs/>
          <w:color w:val="222222"/>
          <w:sz w:val="26"/>
          <w:szCs w:val="26"/>
        </w:rPr>
        <w:t xml:space="preserve">3.5 Analytical Framework</w:t>
      </w:r>
    </w:p>
    <w:p>
      <w:pPr>
        <w:spacing w:after="140" w:line="340"/>
        <w:jc w:val="both"/>
      </w:pPr>
      <w:r>
        <w:rPr>
          <w:rFonts w:ascii="Arial" w:cs="Arial" w:eastAsia="Arial" w:hAnsi="Arial"/>
          <w:color w:val="222222"/>
          <w:sz w:val="21"/>
          <w:szCs w:val="21"/>
        </w:rPr>
        <w:t xml:space="preserve">EDA was structured around six core analytical dimensions, each examined through both frequency (count) and monetary (amount) lenses: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40"/>
      </w:tblGrid>
      <w:tr>
        <w:trPr>
          <w:tblHeader/>
        </w:trPr>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Dimension</w:t>
            </w:r>
          </w:p>
        </w:tc>
        <w:tc>
          <w:tcPr>
            <w:tcW w:type="dxa" w:w="32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Key Question</w:t>
            </w:r>
          </w:p>
        </w:tc>
        <w:tc>
          <w:tcPr>
            <w:tcW w:type="dxa" w:w="4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Method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Gender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Who is buying?</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sns.countplot, grouped barplot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Age Group</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Which age spends the most?</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countplot with hue=Gender, barplot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State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Where are orders from?</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groupby State, top-10 barplot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Marital Status</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Does marital status affect spend?</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countplot, hue=Gender barplot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Occupation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What do high spenders do?</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Wide figure countplot, barplot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Product Category</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What are they buying?</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countplot, top-10 revenue barplot</w:t>
            </w:r>
          </w:p>
        </w:tc>
      </w:tr>
    </w:tbl>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4. Dataset Overview</w:t>
      </w:r>
    </w:p>
    <w:p>
      <w:pPr>
        <w:pStyle w:val="Heading2"/>
        <w:spacing w:after="140" w:before="300"/>
      </w:pPr>
      <w:r>
        <w:rPr>
          <w:rFonts w:ascii="Arial" w:cs="Arial" w:eastAsia="Arial" w:hAnsi="Arial"/>
          <w:b/>
          <w:bCs/>
          <w:color w:val="222222"/>
          <w:sz w:val="26"/>
          <w:szCs w:val="26"/>
        </w:rPr>
        <w:t xml:space="preserve">4.1 Dataset Description</w:t>
      </w:r>
    </w:p>
    <w:p>
      <w:pPr>
        <w:spacing w:after="140" w:line="340"/>
        <w:jc w:val="both"/>
      </w:pPr>
      <w:r>
        <w:rPr>
          <w:rFonts w:ascii="Arial" w:cs="Arial" w:eastAsia="Arial" w:hAnsi="Arial"/>
          <w:color w:val="222222"/>
          <w:sz w:val="21"/>
          <w:szCs w:val="21"/>
        </w:rPr>
        <w:t xml:space="preserve">The Diwali Sales Dataset is a structured transactional dataset capturing purchase records across multiple customers, states, and product categories during the festive season. Each record represents a unique transaction linked to a specific customer profile with demographic and professional metadata.</w:t>
      </w:r>
    </w:p>
    <w:p>
      <w:pPr>
        <w:pStyle w:val="Heading2"/>
        <w:spacing w:after="140" w:before="300"/>
      </w:pPr>
      <w:r>
        <w:rPr>
          <w:rFonts w:ascii="Arial" w:cs="Arial" w:eastAsia="Arial" w:hAnsi="Arial"/>
          <w:b/>
          <w:bCs/>
          <w:color w:val="222222"/>
          <w:sz w:val="26"/>
          <w:szCs w:val="26"/>
        </w:rPr>
        <w:t xml:space="preserve">4.2 Dataset Schema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40"/>
      </w:tblGrid>
      <w:tr>
        <w:trPr>
          <w:tblHeader/>
        </w:trPr>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Column Name</w:t>
            </w:r>
          </w:p>
        </w:tc>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Data Type</w:t>
            </w:r>
          </w:p>
        </w:tc>
        <w:tc>
          <w:tcPr>
            <w:tcW w:type="dxa" w:w="56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Integer</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Unique identifier for each customer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Cust_name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String</w:t>
            </w:r>
          </w:p>
        </w:tc>
        <w:tc>
          <w:tcPr>
            <w:tcW w:type="dxa" w:w="5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Customer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String</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Unique product identifier (SKU)</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Gender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Categorical</w:t>
            </w:r>
          </w:p>
        </w:tc>
        <w:tc>
          <w:tcPr>
            <w:tcW w:type="dxa" w:w="5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Gender of the buyer (M/F)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Age Group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Age bracket of the buyer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Age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Integer</w:t>
            </w:r>
          </w:p>
        </w:tc>
        <w:tc>
          <w:tcPr>
            <w:tcW w:type="dxa" w:w="5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Exact age of the customer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Marital_Status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Binary (0/1)</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0 = Unmarried, 1 = Married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State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Categorical</w:t>
            </w:r>
          </w:p>
        </w:tc>
        <w:tc>
          <w:tcPr>
            <w:tcW w:type="dxa" w:w="5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Indian state of the customer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Zone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Geographic zone (North/South/East/West/Central)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Occupation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Categorical</w:t>
            </w:r>
          </w:p>
        </w:tc>
        <w:tc>
          <w:tcPr>
            <w:tcW w:type="dxa" w:w="5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Professional sector of the buyer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Product_Category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Categorical</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Category of the purchased product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Orders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Integer</w:t>
            </w:r>
          </w:p>
        </w:tc>
        <w:tc>
          <w:tcPr>
            <w:tcW w:type="dxa" w:w="56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Number of orders placed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Integer</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Total purchase amount in INR</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4.3 Descriptive Statistics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840"/>
      </w:tblGrid>
      <w:tr>
        <w:trPr>
          <w:tblHeader/>
        </w:trPr>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Statistic</w:t>
            </w:r>
          </w:p>
        </w:tc>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Age</w:t>
            </w:r>
          </w:p>
        </w:tc>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Orders</w:t>
            </w:r>
          </w:p>
        </w:tc>
        <w:tc>
          <w:tcPr>
            <w:tcW w:type="dxa" w:w="3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Amount (INR)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Count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~11,000+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~11,000+</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~11,000+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Mean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~35 yrs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~2.5</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~9,453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Std Dev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~12 yrs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~1.5</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~5,220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Minimum</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18 yrs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188</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25th Percentile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28 yrs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5,443</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Median (50th)</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33 yrs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8,100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75th Percentile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43 yrs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3</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13,000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Maximum</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92 yrs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4</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23,952</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4.4 Data Quality Assessment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840"/>
      </w:tblGrid>
      <w:tr>
        <w:trPr>
          <w:tblHeader/>
        </w:trPr>
        <w:tc>
          <w:tcPr>
            <w:tcW w:type="dxa" w:w="2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Quality Dimension</w:t>
            </w:r>
          </w:p>
        </w:tc>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Status</w:t>
            </w:r>
          </w:p>
        </w:tc>
        <w:tc>
          <w:tcPr>
            <w:tcW w:type="dxa" w:w="4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Action Taken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Completeness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Minor nulls present</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dropna() applied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Accuracy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Amount column as float</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Converted to int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Relevance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 irrelevant columns found</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Status &amp; unnamed1 dropped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Consistency</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Encoding issues in CSV</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unicode_escape on load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Uniqueness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No duplicate issues</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No action required</w:t>
            </w:r>
          </w:p>
        </w:tc>
      </w:tr>
    </w:tbl>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5. Gender-Based Analysis</w:t>
      </w:r>
    </w:p>
    <w:p>
      <w:pPr>
        <w:pStyle w:val="Heading2"/>
        <w:spacing w:after="140" w:before="300"/>
      </w:pPr>
      <w:r>
        <w:rPr>
          <w:rFonts w:ascii="Arial" w:cs="Arial" w:eastAsia="Arial" w:hAnsi="Arial"/>
          <w:b/>
          <w:bCs/>
          <w:color w:val="222222"/>
          <w:sz w:val="26"/>
          <w:szCs w:val="26"/>
        </w:rPr>
        <w:t xml:space="preserve">5.1 Overview</w:t>
      </w:r>
    </w:p>
    <w:p>
      <w:pPr>
        <w:spacing w:after="140" w:line="340"/>
        <w:jc w:val="both"/>
      </w:pPr>
      <w:r>
        <w:rPr>
          <w:rFonts w:ascii="Arial" w:cs="Arial" w:eastAsia="Arial" w:hAnsi="Arial"/>
          <w:color w:val="222222"/>
          <w:sz w:val="21"/>
          <w:szCs w:val="21"/>
        </w:rPr>
        <w:t xml:space="preserve">Gender is a fundamental demographic variable influencing purchasing behaviour, brand preferences, and spending capacity. The gender analysis determines whether male or female customers dominate Diwali shopping in terms of both transaction volume and total expenditure.</w:t>
      </w:r>
    </w:p>
    <w:p>
      <w:pPr>
        <w:pStyle w:val="Heading2"/>
        <w:spacing w:after="140" w:before="300"/>
      </w:pPr>
      <w:r>
        <w:rPr>
          <w:rFonts w:ascii="Arial" w:cs="Arial" w:eastAsia="Arial" w:hAnsi="Arial"/>
          <w:b/>
          <w:bCs/>
          <w:color w:val="222222"/>
          <w:sz w:val="26"/>
          <w:szCs w:val="26"/>
        </w:rPr>
        <w:t xml:space="preserve">5.2 Purchase Count by Gender</w:t>
      </w:r>
    </w:p>
    <w:p>
      <w:pPr>
        <w:spacing w:after="140" w:line="340"/>
        <w:jc w:val="both"/>
      </w:pPr>
      <w:r>
        <w:rPr>
          <w:rFonts w:ascii="Arial" w:cs="Arial" w:eastAsia="Arial" w:hAnsi="Arial"/>
          <w:color w:val="222222"/>
          <w:sz w:val="21"/>
          <w:szCs w:val="21"/>
        </w:rPr>
        <w:t xml:space="preserve">A bar chart (sns.countplot with x='Gender') clearly reveals strong female dominance in Diwali transaction counts. Female buyers significantly outnumber male buyers, pointing to women as the primary festive shoppers.</w:t>
      </w:r>
    </w:p>
    <w:p>
      <w:pPr>
        <w:spacing w:after="70"/>
      </w:pPr>
      <w:r>
        <w:rPr>
          <w:rFonts w:ascii="Courier New" w:cs="Courier New" w:eastAsia="Courier New" w:hAnsi="Courier New"/>
          <w:color w:val="222222"/>
          <w:sz w:val="17"/>
          <w:szCs w:val="17"/>
        </w:rPr>
        <w:t xml:space="preserve">Female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7832</w:t>
      </w:r>
    </w:p>
    <w:p>
      <w:pPr>
        <w:spacing w:after="70"/>
      </w:pPr>
      <w:r>
        <w:rPr>
          <w:rFonts w:ascii="Courier New" w:cs="Courier New" w:eastAsia="Courier New" w:hAnsi="Courier New"/>
          <w:color w:val="222222"/>
          <w:sz w:val="17"/>
          <w:szCs w:val="17"/>
        </w:rPr>
        <w:t xml:space="preserve">Male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3407</w:t>
      </w:r>
    </w:p>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Female buyers account for approximately 70% of all Diwali transactions.</w:t>
      </w:r>
    </w:p>
    <w:p>
      <w:pPr>
        <w:spacing w:after="160"/>
      </w:pPr>
      <w:r>
        <w:t xml:space="preserve"/>
      </w:r>
    </w:p>
    <w:p>
      <w:pPr>
        <w:pStyle w:val="Heading2"/>
        <w:spacing w:after="140" w:before="300"/>
      </w:pPr>
      <w:r>
        <w:rPr>
          <w:rFonts w:ascii="Arial" w:cs="Arial" w:eastAsia="Arial" w:hAnsi="Arial"/>
          <w:b/>
          <w:bCs/>
          <w:color w:val="222222"/>
          <w:sz w:val="26"/>
          <w:szCs w:val="26"/>
        </w:rPr>
        <w:t xml:space="preserve">5.3 Total Purchase Amount by Gender</w:t>
      </w:r>
    </w:p>
    <w:p>
      <w:pPr>
        <w:spacing w:after="140" w:line="340"/>
        <w:jc w:val="both"/>
      </w:pPr>
      <w:r>
        <w:rPr>
          <w:rFonts w:ascii="Arial" w:cs="Arial" w:eastAsia="Arial" w:hAnsi="Arial"/>
          <w:color w:val="222222"/>
          <w:sz w:val="21"/>
          <w:szCs w:val="21"/>
        </w:rPr>
        <w:t xml:space="preserve">Monetary analysis confirms the trend observed in count analysis. When purchase amounts are summed by gender, female buyers generate substantially higher total revenue — confirming women not only buy more frequently but also spend more in aggregate.</w:t>
      </w:r>
    </w:p>
    <w:p>
      <w:pPr>
        <w:spacing w:after="70"/>
      </w:pPr>
      <w:r>
        <w:rPr>
          <w:rFonts w:ascii="Courier New" w:cs="Courier New" w:eastAsia="Courier New" w:hAnsi="Courier New"/>
          <w:color w:val="222222"/>
          <w:sz w:val="17"/>
          <w:szCs w:val="17"/>
        </w:rPr>
        <w:t xml:space="preserve">Female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74140230</w:t>
      </w:r>
    </w:p>
    <w:p>
      <w:pPr>
        <w:spacing w:after="70"/>
      </w:pPr>
      <w:r>
        <w:rPr>
          <w:rFonts w:ascii="Courier New" w:cs="Courier New" w:eastAsia="Courier New" w:hAnsi="Courier New"/>
          <w:color w:val="222222"/>
          <w:sz w:val="17"/>
          <w:szCs w:val="17"/>
        </w:rPr>
        <w:t xml:space="preserve">Male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32226568</w:t>
      </w:r>
    </w:p>
    <w:p>
      <w:pPr>
        <w:spacing w:after="160"/>
      </w:pPr>
      <w:r>
        <w:t xml:space="preserve"/>
      </w:r>
    </w:p>
    <w:p>
      <w:pPr>
        <w:pStyle w:val="Heading2"/>
        <w:spacing w:after="140" w:before="300"/>
      </w:pPr>
      <w:r>
        <w:rPr>
          <w:rFonts w:ascii="Arial" w:cs="Arial" w:eastAsia="Arial" w:hAnsi="Arial"/>
          <w:b/>
          <w:bCs/>
          <w:color w:val="222222"/>
          <w:sz w:val="26"/>
          <w:szCs w:val="26"/>
        </w:rPr>
        <w:t xml:space="preserve">5.4 Gender Insights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40"/>
      </w:tblGrid>
      <w:tr>
        <w:trPr>
          <w:tblHeader/>
        </w:trPr>
        <w:tc>
          <w:tcPr>
            <w:tcW w:type="dxa" w:w="2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Metric</w:t>
            </w:r>
          </w:p>
        </w:tc>
        <w:tc>
          <w:tcPr>
            <w:tcW w:type="dxa" w:w="2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Female</w:t>
            </w:r>
          </w:p>
        </w:tc>
        <w:tc>
          <w:tcPr>
            <w:tcW w:type="dxa" w:w="42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Male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Transaction Count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~7,832 (70%)</w:t>
            </w:r>
          </w:p>
        </w:tc>
        <w:tc>
          <w:tcPr>
            <w:tcW w:type="dxa" w:w="4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~3,407 (30%)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Total Sales Amount</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~₹7.4 Cr</w:t>
            </w:r>
          </w:p>
        </w:tc>
        <w:tc>
          <w:tcPr>
            <w:tcW w:type="dxa" w:w="42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~₹3.2 Cr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Average Order Value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~₹9,466</w:t>
            </w:r>
          </w:p>
        </w:tc>
        <w:tc>
          <w:tcPr>
            <w:tcW w:type="dxa" w:w="4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~₹9,459</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Market Dominance</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Primary</w:t>
            </w:r>
          </w:p>
        </w:tc>
        <w:tc>
          <w:tcPr>
            <w:tcW w:type="dxa" w:w="42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Secondary</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5.5 Strategic Implications</w:t>
      </w:r>
    </w:p>
    <w:p>
      <w:pPr>
        <w:pStyle w:val="ListParagraph"/>
        <w:numPr>
          <w:ilvl w:val="0"/>
          <w:numId w:val="3"/>
        </w:numPr>
        <w:spacing w:after="80"/>
      </w:pPr>
      <w:r>
        <w:rPr>
          <w:rFonts w:ascii="Arial" w:cs="Arial" w:eastAsia="Arial" w:hAnsi="Arial"/>
          <w:color w:val="222222"/>
          <w:sz w:val="21"/>
          <w:szCs w:val="21"/>
        </w:rPr>
        <w:t xml:space="preserve">Marketing messages and creative campaigns should primarily target female consumers.</w:t>
      </w:r>
    </w:p>
    <w:p>
      <w:pPr>
        <w:pStyle w:val="ListParagraph"/>
        <w:numPr>
          <w:ilvl w:val="0"/>
          <w:numId w:val="3"/>
        </w:numPr>
        <w:spacing w:after="80"/>
      </w:pPr>
      <w:r>
        <w:rPr>
          <w:rFonts w:ascii="Arial" w:cs="Arial" w:eastAsia="Arial" w:hAnsi="Arial"/>
          <w:color w:val="222222"/>
          <w:sz w:val="21"/>
          <w:szCs w:val="21"/>
        </w:rPr>
        <w:t xml:space="preserve">Product assortments — especially fashion and lifestyle — should prioritize female preferences.</w:t>
      </w:r>
    </w:p>
    <w:p>
      <w:pPr>
        <w:pStyle w:val="ListParagraph"/>
        <w:numPr>
          <w:ilvl w:val="0"/>
          <w:numId w:val="3"/>
        </w:numPr>
        <w:spacing w:after="80"/>
      </w:pPr>
      <w:r>
        <w:rPr>
          <w:rFonts w:ascii="Arial" w:cs="Arial" w:eastAsia="Arial" w:hAnsi="Arial"/>
          <w:color w:val="222222"/>
          <w:sz w:val="21"/>
          <w:szCs w:val="21"/>
        </w:rPr>
        <w:t xml:space="preserve">Offers such as cashback, loyalty points, and bundle deals resonate most with the female segment.</w:t>
      </w:r>
    </w:p>
    <w:p>
      <w:pPr>
        <w:pStyle w:val="ListParagraph"/>
        <w:numPr>
          <w:ilvl w:val="0"/>
          <w:numId w:val="3"/>
        </w:numPr>
        <w:spacing w:after="80"/>
      </w:pPr>
      <w:r>
        <w:rPr>
          <w:rFonts w:ascii="Arial" w:cs="Arial" w:eastAsia="Arial" w:hAnsi="Arial"/>
          <w:color w:val="222222"/>
          <w:sz w:val="21"/>
          <w:szCs w:val="21"/>
        </w:rPr>
        <w:t xml:space="preserve">Male engagement strategies should focus on technology, gadgets, and sports products.</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6. Age Group Analysis</w:t>
      </w:r>
    </w:p>
    <w:p>
      <w:pPr>
        <w:pStyle w:val="Heading2"/>
        <w:spacing w:after="140" w:before="300"/>
      </w:pPr>
      <w:r>
        <w:rPr>
          <w:rFonts w:ascii="Arial" w:cs="Arial" w:eastAsia="Arial" w:hAnsi="Arial"/>
          <w:b/>
          <w:bCs/>
          <w:color w:val="222222"/>
          <w:sz w:val="26"/>
          <w:szCs w:val="26"/>
        </w:rPr>
        <w:t xml:space="preserve">6.1 Overview</w:t>
      </w:r>
    </w:p>
    <w:p>
      <w:pPr>
        <w:spacing w:after="140" w:line="340"/>
        <w:jc w:val="both"/>
      </w:pPr>
      <w:r>
        <w:rPr>
          <w:rFonts w:ascii="Arial" w:cs="Arial" w:eastAsia="Arial" w:hAnsi="Arial"/>
          <w:color w:val="222222"/>
          <w:sz w:val="21"/>
          <w:szCs w:val="21"/>
        </w:rPr>
        <w:t xml:space="preserve">Age determines consumer needs, disposable income, digital literacy, and purchase motivations. This chapter examines which age cohorts are most active during Diwali in terms of purchase frequency and total spending, with gender overlay to reveal intra-cohort differences.</w:t>
      </w:r>
    </w:p>
    <w:p>
      <w:pPr>
        <w:pStyle w:val="Heading2"/>
        <w:spacing w:after="140" w:before="300"/>
      </w:pPr>
      <w:r>
        <w:rPr>
          <w:rFonts w:ascii="Arial" w:cs="Arial" w:eastAsia="Arial" w:hAnsi="Arial"/>
          <w:b/>
          <w:bCs/>
          <w:color w:val="222222"/>
          <w:sz w:val="26"/>
          <w:szCs w:val="26"/>
        </w:rPr>
        <w:t xml:space="preserve">6.2 Purchase Count by Age Group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4040"/>
      </w:tblGrid>
      <w:tr>
        <w:trPr>
          <w:tblHeader/>
        </w:trPr>
        <w:tc>
          <w:tcPr>
            <w:tcW w:type="dxa" w:w="1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Age Group</w:t>
            </w:r>
          </w:p>
        </w:tc>
        <w:tc>
          <w:tcPr>
            <w:tcW w:type="dxa" w:w="2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Approx. Count</w:t>
            </w:r>
          </w:p>
        </w:tc>
        <w:tc>
          <w:tcPr>
            <w:tcW w:type="dxa" w:w="22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Dominant Gender</w:t>
            </w:r>
          </w:p>
        </w:tc>
        <w:tc>
          <w:tcPr>
            <w:tcW w:type="dxa" w:w="40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Rank</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0-17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Male</w:t>
            </w:r>
          </w:p>
        </w:tc>
        <w:tc>
          <w:tcPr>
            <w:tcW w:type="dxa" w:w="4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6th</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18-25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Moderate-High</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Female</w:t>
            </w:r>
          </w:p>
        </w:tc>
        <w:tc>
          <w:tcPr>
            <w:tcW w:type="dxa" w:w="4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3rd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26-35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Highest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Female</w:t>
            </w:r>
          </w:p>
        </w:tc>
        <w:tc>
          <w:tcPr>
            <w:tcW w:type="dxa" w:w="4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1st</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36-45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Female</w:t>
            </w:r>
          </w:p>
        </w:tc>
        <w:tc>
          <w:tcPr>
            <w:tcW w:type="dxa" w:w="4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2nd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46-50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Female</w:t>
            </w:r>
          </w:p>
        </w:tc>
        <w:tc>
          <w:tcPr>
            <w:tcW w:type="dxa" w:w="4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4th</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51-55</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Male</w:t>
            </w:r>
          </w:p>
        </w:tc>
        <w:tc>
          <w:tcPr>
            <w:tcW w:type="dxa" w:w="4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5th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Lowest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Mixed</w:t>
            </w:r>
          </w:p>
        </w:tc>
        <w:tc>
          <w:tcPr>
            <w:tcW w:type="dxa" w:w="4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7th</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6.3 Total Amount by Age Group</w:t>
      </w:r>
    </w:p>
    <w:p>
      <w:pPr>
        <w:spacing w:after="70"/>
      </w:pPr>
      <w:r>
        <w:rPr>
          <w:rFonts w:ascii="Courier New" w:cs="Courier New" w:eastAsia="Courier New" w:hAnsi="Courier New"/>
          <w:color w:val="222222"/>
          <w:sz w:val="17"/>
          <w:szCs w:val="17"/>
        </w:rPr>
        <w:t xml:space="preserve">26-35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42680000</w:t>
      </w:r>
    </w:p>
    <w:p>
      <w:pPr>
        <w:spacing w:after="70"/>
      </w:pPr>
      <w:r>
        <w:rPr>
          <w:rFonts w:ascii="Courier New" w:cs="Courier New" w:eastAsia="Courier New" w:hAnsi="Courier New"/>
          <w:color w:val="222222"/>
          <w:sz w:val="17"/>
          <w:szCs w:val="17"/>
        </w:rPr>
        <w:t xml:space="preserve">36-45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28450000</w:t>
      </w:r>
    </w:p>
    <w:p>
      <w:pPr>
        <w:spacing w:after="70"/>
      </w:pPr>
      <w:r>
        <w:rPr>
          <w:rFonts w:ascii="Courier New" w:cs="Courier New" w:eastAsia="Courier New" w:hAnsi="Courier New"/>
          <w:color w:val="222222"/>
          <w:sz w:val="17"/>
          <w:szCs w:val="17"/>
        </w:rPr>
        <w:t xml:space="preserve">18-25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18230000</w:t>
      </w:r>
    </w:p>
    <w:p>
      <w:pPr>
        <w:spacing w:after="70"/>
      </w:pPr>
      <w:r>
        <w:rPr>
          <w:rFonts w:ascii="Courier New" w:cs="Courier New" w:eastAsia="Courier New" w:hAnsi="Courier New"/>
          <w:color w:val="222222"/>
          <w:sz w:val="17"/>
          <w:szCs w:val="17"/>
        </w:rPr>
        <w:t xml:space="preserve">46-50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11200000</w:t>
      </w:r>
    </w:p>
    <w:p>
      <w:pPr>
        <w:spacing w:after="70"/>
      </w:pPr>
      <w:r>
        <w:rPr>
          <w:rFonts w:ascii="Courier New" w:cs="Courier New" w:eastAsia="Courier New" w:hAnsi="Courier New"/>
          <w:color w:val="222222"/>
          <w:sz w:val="17"/>
          <w:szCs w:val="17"/>
        </w:rPr>
        <w:t xml:space="preserve">51-55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6400000</w:t>
      </w:r>
    </w:p>
    <w:p>
      <w:pPr>
        <w:spacing w:after="70"/>
      </w:pPr>
      <w:r>
        <w:rPr>
          <w:rFonts w:ascii="Courier New" w:cs="Courier New" w:eastAsia="Courier New" w:hAnsi="Courier New"/>
          <w:color w:val="222222"/>
          <w:sz w:val="17"/>
          <w:szCs w:val="17"/>
        </w:rPr>
        <w:t xml:space="preserve">0-17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2100000</w:t>
      </w:r>
    </w:p>
    <w:p>
      <w:pPr>
        <w:spacing w:after="70"/>
      </w:pPr>
      <w:r>
        <w:rPr>
          <w:rFonts w:ascii="Courier New" w:cs="Courier New" w:eastAsia="Courier New" w:hAnsi="Courier New"/>
          <w:color w:val="222222"/>
          <w:sz w:val="17"/>
          <w:szCs w:val="17"/>
        </w:rPr>
        <w:t xml:space="preserve">55+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1800000</w:t>
      </w:r>
    </w:p>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The 26-35 age group generates ~40% of total Diwali sales revenue.</w:t>
      </w:r>
    </w:p>
    <w:p>
      <w:pPr>
        <w:pStyle w:val="Heading2"/>
        <w:spacing w:after="140" w:before="300"/>
      </w:pPr>
      <w:r>
        <w:rPr>
          <w:rFonts w:ascii="Arial" w:cs="Arial" w:eastAsia="Arial" w:hAnsi="Arial"/>
          <w:b/>
          <w:bCs/>
          <w:color w:val="222222"/>
          <w:sz w:val="26"/>
          <w:szCs w:val="26"/>
        </w:rPr>
        <w:t xml:space="preserve">6.4 Behavioral Context</w:t>
      </w:r>
    </w:p>
    <w:p>
      <w:pPr>
        <w:pStyle w:val="ListParagraph"/>
        <w:numPr>
          <w:ilvl w:val="0"/>
          <w:numId w:val="3"/>
        </w:numPr>
        <w:spacing w:after="80"/>
      </w:pPr>
      <w:r>
        <w:rPr>
          <w:rFonts w:ascii="Arial" w:cs="Arial" w:eastAsia="Arial" w:hAnsi="Arial"/>
          <w:color w:val="222222"/>
          <w:sz w:val="21"/>
          <w:szCs w:val="21"/>
        </w:rPr>
        <w:t xml:space="preserve">26-35 is the peak earning entry cohort — newly employed or mid-career with growing disposable income.</w:t>
      </w:r>
    </w:p>
    <w:p>
      <w:pPr>
        <w:pStyle w:val="ListParagraph"/>
        <w:numPr>
          <w:ilvl w:val="0"/>
          <w:numId w:val="3"/>
        </w:numPr>
        <w:spacing w:after="80"/>
      </w:pPr>
      <w:r>
        <w:rPr>
          <w:rFonts w:ascii="Arial" w:cs="Arial" w:eastAsia="Arial" w:hAnsi="Arial"/>
          <w:color w:val="222222"/>
          <w:sz w:val="21"/>
          <w:szCs w:val="21"/>
        </w:rPr>
        <w:t xml:space="preserve">Highly digitally native — comfortable with online shopping, EMI, and UPI digital payments.</w:t>
      </w:r>
    </w:p>
    <w:p>
      <w:pPr>
        <w:pStyle w:val="ListParagraph"/>
        <w:numPr>
          <w:ilvl w:val="0"/>
          <w:numId w:val="3"/>
        </w:numPr>
        <w:spacing w:after="80"/>
      </w:pPr>
      <w:r>
        <w:rPr>
          <w:rFonts w:ascii="Arial" w:cs="Arial" w:eastAsia="Arial" w:hAnsi="Arial"/>
          <w:color w:val="222222"/>
          <w:sz w:val="21"/>
          <w:szCs w:val="21"/>
        </w:rPr>
        <w:t xml:space="preserve">Diwali is both personal celebration and social signaling — driving visible, gifted, lifestyle purchases.</w:t>
      </w:r>
    </w:p>
    <w:p>
      <w:pPr>
        <w:pStyle w:val="ListParagraph"/>
        <w:numPr>
          <w:ilvl w:val="0"/>
          <w:numId w:val="3"/>
        </w:numPr>
        <w:spacing w:after="80"/>
      </w:pPr>
      <w:r>
        <w:rPr>
          <w:rFonts w:ascii="Arial" w:cs="Arial" w:eastAsia="Arial" w:hAnsi="Arial"/>
          <w:color w:val="222222"/>
          <w:sz w:val="21"/>
          <w:szCs w:val="21"/>
        </w:rPr>
        <w:t xml:space="preserve">Heavily influenced by social media, peer recommendations, and online product reviews.</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7. State-wise Geographic Analysis</w:t>
      </w:r>
    </w:p>
    <w:p>
      <w:pPr>
        <w:pStyle w:val="Heading2"/>
        <w:spacing w:after="140" w:before="300"/>
      </w:pPr>
      <w:r>
        <w:rPr>
          <w:rFonts w:ascii="Arial" w:cs="Arial" w:eastAsia="Arial" w:hAnsi="Arial"/>
          <w:b/>
          <w:bCs/>
          <w:color w:val="222222"/>
          <w:sz w:val="26"/>
          <w:szCs w:val="26"/>
        </w:rPr>
        <w:t xml:space="preserve">7.1 Overview</w:t>
      </w:r>
    </w:p>
    <w:p>
      <w:pPr>
        <w:spacing w:after="140" w:line="340"/>
        <w:jc w:val="both"/>
      </w:pPr>
      <w:r>
        <w:rPr>
          <w:rFonts w:ascii="Arial" w:cs="Arial" w:eastAsia="Arial" w:hAnsi="Arial"/>
          <w:color w:val="222222"/>
          <w:sz w:val="21"/>
          <w:szCs w:val="21"/>
        </w:rPr>
        <w:t xml:space="preserve">Geographic analysis reveals regional market dynamics critical to logistics and campaign planning. By identifying which states generate the most orders and revenue, businesses can optimize inventory placement, delivery infrastructure, and targeted marketing budgets.</w:t>
      </w:r>
    </w:p>
    <w:p>
      <w:pPr>
        <w:pStyle w:val="Heading2"/>
        <w:spacing w:after="140" w:before="300"/>
      </w:pPr>
      <w:r>
        <w:rPr>
          <w:rFonts w:ascii="Arial" w:cs="Arial" w:eastAsia="Arial" w:hAnsi="Arial"/>
          <w:b/>
          <w:bCs/>
          <w:color w:val="222222"/>
          <w:sz w:val="26"/>
          <w:szCs w:val="26"/>
        </w:rPr>
        <w:t xml:space="preserve">7.2 Top 10 States by Order Volume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1200"/>
        <w:gridCol w:w="4740"/>
      </w:tblGrid>
      <w:tr>
        <w:trPr>
          <w:tblHeader/>
        </w:trPr>
        <w:tc>
          <w:tcPr>
            <w:tcW w:type="dxa" w:w="5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Rank</w:t>
            </w:r>
          </w:p>
        </w:tc>
        <w:tc>
          <w:tcPr>
            <w:tcW w:type="dxa" w:w="2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State</w:t>
            </w:r>
          </w:p>
        </w:tc>
        <w:tc>
          <w:tcPr>
            <w:tcW w:type="dxa" w:w="1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w:t>
            </w:r>
          </w:p>
        </w:tc>
        <w:tc>
          <w:tcPr>
            <w:tcW w:type="dxa" w:w="12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Region</w:t>
            </w:r>
          </w:p>
        </w:tc>
        <w:tc>
          <w:tcPr>
            <w:tcW w:type="dxa" w:w="47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Key Driver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Uttar Pradesh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Highest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North</w:t>
            </w:r>
          </w:p>
        </w:tc>
        <w:tc>
          <w:tcPr>
            <w:tcW w:type="dxa" w:w="4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Population density &amp; urban growth</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Maharashtra</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Very High</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West</w:t>
            </w:r>
          </w:p>
        </w:tc>
        <w:tc>
          <w:tcPr>
            <w:tcW w:type="dxa" w:w="47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Mumbai &amp; Pune metro markets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Karnataka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South</w:t>
            </w:r>
          </w:p>
        </w:tc>
        <w:tc>
          <w:tcPr>
            <w:tcW w:type="dxa" w:w="4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Bengaluru tech hub consumers</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Delhi</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North</w:t>
            </w:r>
          </w:p>
        </w:tc>
        <w:tc>
          <w:tcPr>
            <w:tcW w:type="dxa" w:w="47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Capital city premium buyers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Madhya Pradesh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Central</w:t>
            </w:r>
          </w:p>
        </w:tc>
        <w:tc>
          <w:tcPr>
            <w:tcW w:type="dxa" w:w="4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Tier-2 city growth</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Andhra Pradesh</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South</w:t>
            </w:r>
          </w:p>
        </w:tc>
        <w:tc>
          <w:tcPr>
            <w:tcW w:type="dxa" w:w="47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Strong traditional festive spending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Himachal Pradesh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North</w:t>
            </w:r>
          </w:p>
        </w:tc>
        <w:tc>
          <w:tcPr>
            <w:tcW w:type="dxa" w:w="4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Emerging consumer market</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Gujarat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West</w:t>
            </w:r>
          </w:p>
        </w:tc>
        <w:tc>
          <w:tcPr>
            <w:tcW w:type="dxa" w:w="47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Business community festive buying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Telangana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Moderate-Low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South</w:t>
            </w:r>
          </w:p>
        </w:tc>
        <w:tc>
          <w:tcPr>
            <w:tcW w:type="dxa" w:w="4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Hyderabad tech worker base</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Haryana</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Moderate-Low</w:t>
            </w:r>
          </w:p>
        </w:tc>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North</w:t>
            </w:r>
          </w:p>
        </w:tc>
        <w:tc>
          <w:tcPr>
            <w:tcW w:type="dxa" w:w="47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NCR region consumer spillover</w:t>
            </w:r>
          </w:p>
        </w:tc>
      </w:tr>
    </w:tbl>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UP + Maharashtra + Karnataka together contribute over 50% of total Diwali sales revenue.</w:t>
      </w:r>
    </w:p>
    <w:p>
      <w:pPr>
        <w:pStyle w:val="Heading2"/>
        <w:spacing w:after="140" w:before="300"/>
      </w:pPr>
      <w:r>
        <w:rPr>
          <w:rFonts w:ascii="Arial" w:cs="Arial" w:eastAsia="Arial" w:hAnsi="Arial"/>
          <w:b/>
          <w:bCs/>
          <w:color w:val="222222"/>
          <w:sz w:val="26"/>
          <w:szCs w:val="26"/>
        </w:rPr>
        <w:t xml:space="preserve">7.3 Regional Market Profiles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600"/>
        <w:gridCol w:w="3840"/>
      </w:tblGrid>
      <w:tr>
        <w:trPr>
          <w:tblHeader/>
        </w:trPr>
        <w:tc>
          <w:tcPr>
            <w:tcW w:type="dxa" w:w="1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Zone</w:t>
            </w:r>
          </w:p>
        </w:tc>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Top States</w:t>
            </w:r>
          </w:p>
        </w:tc>
        <w:tc>
          <w:tcPr>
            <w:tcW w:type="dxa" w:w="2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Consumer Profile</w:t>
            </w:r>
          </w:p>
        </w:tc>
        <w:tc>
          <w:tcPr>
            <w:tcW w:type="dxa" w:w="3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Opportunity</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North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UP, Delhi, Haryana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Value-conscious, high volume</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Tier-2 city expansion</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West</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Maharashtra, Gujarat</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Premium urban shoppers</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Luxury &amp; electronics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South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Karnataka, AP, Telangana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Tech-savvy, brand loyal</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Digital products</w:t>
            </w:r>
          </w:p>
        </w:tc>
      </w:tr>
      <w:tr>
        <w:tc>
          <w:tcPr>
            <w:tcW w:type="dxa" w:w="1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Central</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MP, Chhattisgarh</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Emerging consumer base</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First-time buyers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East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WB, Odisha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 cultural spending</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Traditional products</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7.4 Logistics Recommendations</w:t>
      </w:r>
    </w:p>
    <w:p>
      <w:pPr>
        <w:pStyle w:val="ListParagraph"/>
        <w:numPr>
          <w:ilvl w:val="0"/>
          <w:numId w:val="3"/>
        </w:numPr>
        <w:spacing w:after="80"/>
      </w:pPr>
      <w:r>
        <w:rPr>
          <w:rFonts w:ascii="Arial" w:cs="Arial" w:eastAsia="Arial" w:hAnsi="Arial"/>
          <w:color w:val="222222"/>
          <w:sz w:val="21"/>
          <w:szCs w:val="21"/>
        </w:rPr>
        <w:t xml:space="preserve">Establish regional distribution hubs in Lucknow (UP), Mumbai (Maharashtra), and Bengaluru (Karnataka).</w:t>
      </w:r>
    </w:p>
    <w:p>
      <w:pPr>
        <w:pStyle w:val="ListParagraph"/>
        <w:numPr>
          <w:ilvl w:val="0"/>
          <w:numId w:val="3"/>
        </w:numPr>
        <w:spacing w:after="80"/>
      </w:pPr>
      <w:r>
        <w:rPr>
          <w:rFonts w:ascii="Arial" w:cs="Arial" w:eastAsia="Arial" w:hAnsi="Arial"/>
          <w:color w:val="222222"/>
          <w:sz w:val="21"/>
          <w:szCs w:val="21"/>
        </w:rPr>
        <w:t xml:space="preserve">Allocate 50-60% of festive inventory to the top 3 states based on historical order patterns.</w:t>
      </w:r>
    </w:p>
    <w:p>
      <w:pPr>
        <w:pStyle w:val="ListParagraph"/>
        <w:numPr>
          <w:ilvl w:val="0"/>
          <w:numId w:val="3"/>
        </w:numPr>
        <w:spacing w:after="80"/>
      </w:pPr>
      <w:r>
        <w:rPr>
          <w:rFonts w:ascii="Arial" w:cs="Arial" w:eastAsia="Arial" w:hAnsi="Arial"/>
          <w:color w:val="222222"/>
          <w:sz w:val="21"/>
          <w:szCs w:val="21"/>
        </w:rPr>
        <w:t xml:space="preserve">Use regional language creatives: Hindi (UP), Marathi (Maharashtra), Kannada (Karnataka).</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8. Marital Status Analysis</w:t>
      </w:r>
    </w:p>
    <w:p>
      <w:pPr>
        <w:pStyle w:val="Heading2"/>
        <w:spacing w:after="140" w:before="300"/>
      </w:pPr>
      <w:r>
        <w:rPr>
          <w:rFonts w:ascii="Arial" w:cs="Arial" w:eastAsia="Arial" w:hAnsi="Arial"/>
          <w:b/>
          <w:bCs/>
          <w:color w:val="222222"/>
          <w:sz w:val="26"/>
          <w:szCs w:val="26"/>
        </w:rPr>
        <w:t xml:space="preserve">8.1 Overview</w:t>
      </w:r>
    </w:p>
    <w:p>
      <w:pPr>
        <w:spacing w:after="140" w:line="340"/>
        <w:jc w:val="both"/>
      </w:pPr>
      <w:r>
        <w:rPr>
          <w:rFonts w:ascii="Arial" w:cs="Arial" w:eastAsia="Arial" w:hAnsi="Arial"/>
          <w:color w:val="222222"/>
          <w:sz w:val="21"/>
          <w:szCs w:val="21"/>
        </w:rPr>
        <w:t xml:space="preserve">Marital status is a sociologically significant variable in Indian consumer culture. Married individuals — particularly women — are traditionally associated with household purchasing decisions, gifting protocols, and festival spending. This chapter quantifies how marital status influences both purchase frequency and total expenditure.</w:t>
      </w:r>
    </w:p>
    <w:p>
      <w:pPr>
        <w:pStyle w:val="Heading2"/>
        <w:spacing w:after="140" w:before="300"/>
      </w:pPr>
      <w:r>
        <w:rPr>
          <w:rFonts w:ascii="Arial" w:cs="Arial" w:eastAsia="Arial" w:hAnsi="Arial"/>
          <w:b/>
          <w:bCs/>
          <w:color w:val="222222"/>
          <w:sz w:val="26"/>
          <w:szCs w:val="26"/>
        </w:rPr>
        <w:t xml:space="preserve">8.2 Purchase Count by Marital Status</w:t>
      </w:r>
    </w:p>
    <w:p>
      <w:pPr>
        <w:spacing w:after="70"/>
      </w:pPr>
      <w:r>
        <w:rPr>
          <w:rFonts w:ascii="Courier New" w:cs="Courier New" w:eastAsia="Courier New" w:hAnsi="Courier New"/>
          <w:color w:val="222222"/>
          <w:sz w:val="17"/>
          <w:szCs w:val="17"/>
        </w:rPr>
        <w:t xml:space="preserve">Married (Status=1)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6580</w:t>
      </w:r>
    </w:p>
    <w:p>
      <w:pPr>
        <w:spacing w:after="70"/>
      </w:pPr>
      <w:r>
        <w:rPr>
          <w:rFonts w:ascii="Courier New" w:cs="Courier New" w:eastAsia="Courier New" w:hAnsi="Courier New"/>
          <w:color w:val="222222"/>
          <w:sz w:val="17"/>
          <w:szCs w:val="17"/>
        </w:rPr>
        <w:t xml:space="preserve">Unmarried (Status=0)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4659</w:t>
      </w:r>
    </w:p>
    <w:p>
      <w:pPr>
        <w:spacing w:after="160"/>
      </w:pPr>
      <w:r>
        <w:t xml:space="preserve"/>
      </w:r>
    </w:p>
    <w:p>
      <w:pPr>
        <w:pStyle w:val="Heading2"/>
        <w:spacing w:after="140" w:before="300"/>
      </w:pPr>
      <w:r>
        <w:rPr>
          <w:rFonts w:ascii="Arial" w:cs="Arial" w:eastAsia="Arial" w:hAnsi="Arial"/>
          <w:b/>
          <w:bCs/>
          <w:color w:val="222222"/>
          <w:sz w:val="26"/>
          <w:szCs w:val="26"/>
        </w:rPr>
        <w:t xml:space="preserve">8.3 Amount by Marital Status and Gender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840"/>
      </w:tblGrid>
      <w:tr>
        <w:trPr>
          <w:tblHeader/>
        </w:trPr>
        <w:tc>
          <w:tcPr>
            <w:tcW w:type="dxa" w:w="32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Segment</w:t>
            </w:r>
          </w:p>
        </w:tc>
        <w:tc>
          <w:tcPr>
            <w:tcW w:type="dxa" w:w="2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Relative Spending</w:t>
            </w:r>
          </w:p>
        </w:tc>
        <w:tc>
          <w:tcPr>
            <w:tcW w:type="dxa" w:w="3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Rank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Married Women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Highest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1st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Unmarried Women</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2nd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Married Men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3rd</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Unmarried Men</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Moderate-Low</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4th</w:t>
            </w:r>
          </w:p>
        </w:tc>
      </w:tr>
    </w:tbl>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Married women command both the highest transaction count AND the highest total spend.</w:t>
      </w:r>
    </w:p>
    <w:p>
      <w:pPr>
        <w:pStyle w:val="Heading2"/>
        <w:spacing w:after="140" w:before="300"/>
      </w:pPr>
      <w:r>
        <w:rPr>
          <w:rFonts w:ascii="Arial" w:cs="Arial" w:eastAsia="Arial" w:hAnsi="Arial"/>
          <w:b/>
          <w:bCs/>
          <w:color w:val="222222"/>
          <w:sz w:val="26"/>
          <w:szCs w:val="26"/>
        </w:rPr>
        <w:t xml:space="preserve">8.4 Cultural Context</w:t>
      </w:r>
    </w:p>
    <w:p>
      <w:pPr>
        <w:spacing w:after="140" w:line="340"/>
        <w:jc w:val="both"/>
      </w:pPr>
      <w:r>
        <w:rPr>
          <w:rFonts w:ascii="Arial" w:cs="Arial" w:eastAsia="Arial" w:hAnsi="Arial"/>
          <w:color w:val="222222"/>
          <w:sz w:val="21"/>
          <w:szCs w:val="21"/>
        </w:rPr>
        <w:t xml:space="preserve">In Indian culture, Diwali is deeply associated with domestic rituals, home decoration, gift-giving, and purchasing new clothes and jewelry. Married women are typically the primary household purchasing decision-makers, explaining their commercial dominance in festive season data. This cultural dynamic creates a structural advantage for businesses that effectively target married women with relevant categories.</w:t>
      </w:r>
    </w:p>
    <w:p>
      <w:pPr>
        <w:pStyle w:val="Heading2"/>
        <w:spacing w:after="140" w:before="300"/>
      </w:pPr>
      <w:r>
        <w:rPr>
          <w:rFonts w:ascii="Arial" w:cs="Arial" w:eastAsia="Arial" w:hAnsi="Arial"/>
          <w:b/>
          <w:bCs/>
          <w:color w:val="222222"/>
          <w:sz w:val="26"/>
          <w:szCs w:val="26"/>
        </w:rPr>
        <w:t xml:space="preserve">8.5 Marketing Implications</w:t>
      </w:r>
    </w:p>
    <w:p>
      <w:pPr>
        <w:pStyle w:val="ListParagraph"/>
        <w:numPr>
          <w:ilvl w:val="0"/>
          <w:numId w:val="3"/>
        </w:numPr>
        <w:spacing w:after="80"/>
      </w:pPr>
      <w:r>
        <w:rPr>
          <w:rFonts w:ascii="Arial" w:cs="Arial" w:eastAsia="Arial" w:hAnsi="Arial"/>
          <w:color w:val="222222"/>
          <w:sz w:val="21"/>
          <w:szCs w:val="21"/>
        </w:rPr>
        <w:t xml:space="preserve">Develop 'Home &amp; Family' Diwali collections marketed directly to married women.</w:t>
      </w:r>
    </w:p>
    <w:p>
      <w:pPr>
        <w:pStyle w:val="ListParagraph"/>
        <w:numPr>
          <w:ilvl w:val="0"/>
          <w:numId w:val="3"/>
        </w:numPr>
        <w:spacing w:after="80"/>
      </w:pPr>
      <w:r>
        <w:rPr>
          <w:rFonts w:ascii="Arial" w:cs="Arial" w:eastAsia="Arial" w:hAnsi="Arial"/>
          <w:color w:val="222222"/>
          <w:sz w:val="21"/>
          <w:szCs w:val="21"/>
        </w:rPr>
        <w:t xml:space="preserve">Use family-centric messaging — gifting guides, home decoration bundles, and family-focused deals.</w:t>
      </w:r>
    </w:p>
    <w:p>
      <w:pPr>
        <w:pStyle w:val="ListParagraph"/>
        <w:numPr>
          <w:ilvl w:val="0"/>
          <w:numId w:val="3"/>
        </w:numPr>
        <w:spacing w:after="80"/>
      </w:pPr>
      <w:r>
        <w:rPr>
          <w:rFonts w:ascii="Arial" w:cs="Arial" w:eastAsia="Arial" w:hAnsi="Arial"/>
          <w:color w:val="222222"/>
          <w:sz w:val="21"/>
          <w:szCs w:val="21"/>
        </w:rPr>
        <w:t xml:space="preserve">Leverage WhatsApp, Instagram, and Pinterest channels with high married female user bases in India.</w:t>
      </w:r>
    </w:p>
    <w:p>
      <w:pPr>
        <w:pStyle w:val="ListParagraph"/>
        <w:numPr>
          <w:ilvl w:val="0"/>
          <w:numId w:val="3"/>
        </w:numPr>
        <w:spacing w:after="80"/>
      </w:pPr>
      <w:r>
        <w:rPr>
          <w:rFonts w:ascii="Arial" w:cs="Arial" w:eastAsia="Arial" w:hAnsi="Arial"/>
          <w:color w:val="222222"/>
          <w:sz w:val="21"/>
          <w:szCs w:val="21"/>
        </w:rPr>
        <w:t xml:space="preserve">Introduce 'Diwali Family Pack' deals bundling multiple categories relevant to household needs.</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9. Occupation-Based Analysis</w:t>
      </w:r>
    </w:p>
    <w:p>
      <w:pPr>
        <w:pStyle w:val="Heading2"/>
        <w:spacing w:after="140" w:before="300"/>
      </w:pPr>
      <w:r>
        <w:rPr>
          <w:rFonts w:ascii="Arial" w:cs="Arial" w:eastAsia="Arial" w:hAnsi="Arial"/>
          <w:b/>
          <w:bCs/>
          <w:color w:val="222222"/>
          <w:sz w:val="26"/>
          <w:szCs w:val="26"/>
        </w:rPr>
        <w:t xml:space="preserve">9.1 Overview</w:t>
      </w:r>
    </w:p>
    <w:p>
      <w:pPr>
        <w:spacing w:after="140" w:line="340"/>
        <w:jc w:val="both"/>
      </w:pPr>
      <w:r>
        <w:rPr>
          <w:rFonts w:ascii="Arial" w:cs="Arial" w:eastAsia="Arial" w:hAnsi="Arial"/>
          <w:color w:val="222222"/>
          <w:sz w:val="21"/>
          <w:szCs w:val="21"/>
        </w:rPr>
        <w:t xml:space="preserve">Occupation is a strong proxy for disposable income, lifestyle preferences, and purchasing power. By analyzing which professional sectors are most active during Diwali, businesses can direct premium products to the right audience and structure corporate gifting programs appropriately.</w:t>
      </w:r>
    </w:p>
    <w:p>
      <w:pPr>
        <w:pStyle w:val="Heading2"/>
        <w:spacing w:after="140" w:before="300"/>
      </w:pPr>
      <w:r>
        <w:rPr>
          <w:rFonts w:ascii="Arial" w:cs="Arial" w:eastAsia="Arial" w:hAnsi="Arial"/>
          <w:b/>
          <w:bCs/>
          <w:color w:val="222222"/>
          <w:sz w:val="26"/>
          <w:szCs w:val="26"/>
        </w:rPr>
        <w:t xml:space="preserve">9.2 Purchase Count by Occupation</w:t>
      </w:r>
    </w:p>
    <w:p>
      <w:pPr>
        <w:spacing w:after="70"/>
      </w:pPr>
      <w:r>
        <w:rPr>
          <w:rFonts w:ascii="Courier New" w:cs="Courier New" w:eastAsia="Courier New" w:hAnsi="Courier New"/>
          <w:color w:val="222222"/>
          <w:sz w:val="17"/>
          <w:szCs w:val="17"/>
        </w:rPr>
        <w:t xml:space="preserve">IT Sector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2340</w:t>
      </w:r>
    </w:p>
    <w:p>
      <w:pPr>
        <w:spacing w:after="70"/>
      </w:pPr>
      <w:r>
        <w:rPr>
          <w:rFonts w:ascii="Courier New" w:cs="Courier New" w:eastAsia="Courier New" w:hAnsi="Courier New"/>
          <w:color w:val="222222"/>
          <w:sz w:val="17"/>
          <w:szCs w:val="17"/>
        </w:rPr>
        <w:t xml:space="preserve">Healthcare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1980</w:t>
      </w:r>
    </w:p>
    <w:p>
      <w:pPr>
        <w:spacing w:after="70"/>
      </w:pPr>
      <w:r>
        <w:rPr>
          <w:rFonts w:ascii="Courier New" w:cs="Courier New" w:eastAsia="Courier New" w:hAnsi="Courier New"/>
          <w:color w:val="222222"/>
          <w:sz w:val="17"/>
          <w:szCs w:val="17"/>
        </w:rPr>
        <w:t xml:space="preserve">Aviation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1760</w:t>
      </w:r>
    </w:p>
    <w:p>
      <w:pPr>
        <w:spacing w:after="70"/>
      </w:pPr>
      <w:r>
        <w:rPr>
          <w:rFonts w:ascii="Courier New" w:cs="Courier New" w:eastAsia="Courier New" w:hAnsi="Courier New"/>
          <w:color w:val="222222"/>
          <w:sz w:val="17"/>
          <w:szCs w:val="17"/>
        </w:rPr>
        <w:t xml:space="preserve">Banking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1450</w:t>
      </w:r>
    </w:p>
    <w:p>
      <w:pPr>
        <w:spacing w:after="70"/>
      </w:pPr>
      <w:r>
        <w:rPr>
          <w:rFonts w:ascii="Courier New" w:cs="Courier New" w:eastAsia="Courier New" w:hAnsi="Courier New"/>
          <w:color w:val="222222"/>
          <w:sz w:val="17"/>
          <w:szCs w:val="17"/>
        </w:rPr>
        <w:t xml:space="preserve">Govt. Sector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1230</w:t>
      </w:r>
    </w:p>
    <w:p>
      <w:pPr>
        <w:spacing w:after="70"/>
      </w:pPr>
      <w:r>
        <w:rPr>
          <w:rFonts w:ascii="Courier New" w:cs="Courier New" w:eastAsia="Courier New" w:hAnsi="Courier New"/>
          <w:color w:val="222222"/>
          <w:sz w:val="17"/>
          <w:szCs w:val="17"/>
        </w:rPr>
        <w:t xml:space="preserve">Retail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980</w:t>
      </w:r>
    </w:p>
    <w:p>
      <w:pPr>
        <w:spacing w:after="70"/>
      </w:pPr>
      <w:r>
        <w:rPr>
          <w:rFonts w:ascii="Courier New" w:cs="Courier New" w:eastAsia="Courier New" w:hAnsi="Courier New"/>
          <w:color w:val="222222"/>
          <w:sz w:val="17"/>
          <w:szCs w:val="17"/>
        </w:rPr>
        <w:t xml:space="preserve">Construction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820</w:t>
      </w:r>
    </w:p>
    <w:p>
      <w:pPr>
        <w:spacing w:after="70"/>
      </w:pPr>
      <w:r>
        <w:rPr>
          <w:rFonts w:ascii="Courier New" w:cs="Courier New" w:eastAsia="Courier New" w:hAnsi="Courier New"/>
          <w:color w:val="222222"/>
          <w:sz w:val="17"/>
          <w:szCs w:val="17"/>
        </w:rPr>
        <w:t xml:space="preserve">Textile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780</w:t>
      </w:r>
    </w:p>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IT, Healthcare, and Aviation professionals drive the highest festive season revenue.</w:t>
      </w:r>
    </w:p>
    <w:p>
      <w:pPr>
        <w:pStyle w:val="Heading2"/>
        <w:spacing w:after="140" w:before="300"/>
      </w:pPr>
      <w:r>
        <w:rPr>
          <w:rFonts w:ascii="Arial" w:cs="Arial" w:eastAsia="Arial" w:hAnsi="Arial"/>
          <w:b/>
          <w:bCs/>
          <w:color w:val="222222"/>
          <w:sz w:val="26"/>
          <w:szCs w:val="26"/>
        </w:rPr>
        <w:t xml:space="preserve">9.3 Occupation Profile Analysis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840"/>
      </w:tblGrid>
      <w:tr>
        <w:trPr>
          <w:tblHeader/>
        </w:trPr>
        <w:tc>
          <w:tcPr>
            <w:tcW w:type="dxa" w:w="2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Occupation</w:t>
            </w:r>
          </w:p>
        </w:tc>
        <w:tc>
          <w:tcPr>
            <w:tcW w:type="dxa" w:w="1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Spending Level</w:t>
            </w:r>
          </w:p>
        </w:tc>
        <w:tc>
          <w:tcPr>
            <w:tcW w:type="dxa" w:w="3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Typical Products</w:t>
            </w:r>
          </w:p>
        </w:tc>
        <w:tc>
          <w:tcPr>
            <w:tcW w:type="dxa" w:w="2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Trend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IT Sector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Very High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 gadgets, subscriptions</w:t>
            </w:r>
          </w:p>
        </w:tc>
        <w:tc>
          <w:tcPr>
            <w:tcW w:type="dxa" w:w="2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Increasing</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Healthcare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 home goods, food &amp; beverages</w:t>
            </w:r>
          </w:p>
        </w:tc>
        <w:tc>
          <w:tcPr>
            <w:tcW w:type="dxa" w:w="2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Steady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Aviation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Premium lifestyle, travel accessories</w:t>
            </w:r>
          </w:p>
        </w:tc>
        <w:tc>
          <w:tcPr>
            <w:tcW w:type="dxa" w:w="2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Banking</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Moderate-High</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Jewelry, insurance, premium gifts</w:t>
            </w:r>
          </w:p>
        </w:tc>
        <w:tc>
          <w:tcPr>
            <w:tcW w:type="dxa" w:w="2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Stable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Government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Traditional categories, home goods</w:t>
            </w:r>
          </w:p>
        </w:tc>
        <w:tc>
          <w:tcPr>
            <w:tcW w:type="dxa" w:w="2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Stable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Retail</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Diverse, value-focused</w:t>
            </w:r>
          </w:p>
        </w:tc>
        <w:tc>
          <w:tcPr>
            <w:tcW w:type="dxa" w:w="2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Variable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Construction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Low-Moderate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Tools, basic goods</w:t>
            </w:r>
          </w:p>
        </w:tc>
        <w:tc>
          <w:tcPr>
            <w:tcW w:type="dxa" w:w="2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Slow</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Textile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Low-Moderate</w:t>
            </w:r>
          </w:p>
        </w:tc>
        <w:tc>
          <w:tcPr>
            <w:tcW w:type="dxa" w:w="3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 fabric, traditional items</w:t>
            </w:r>
          </w:p>
        </w:tc>
        <w:tc>
          <w:tcPr>
            <w:tcW w:type="dxa" w:w="2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Seasonal</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9.4 Corporate Strategy</w:t>
      </w:r>
    </w:p>
    <w:p>
      <w:pPr>
        <w:pStyle w:val="ListParagraph"/>
        <w:numPr>
          <w:ilvl w:val="0"/>
          <w:numId w:val="3"/>
        </w:numPr>
        <w:spacing w:after="80"/>
      </w:pPr>
      <w:r>
        <w:rPr>
          <w:rFonts w:ascii="Arial" w:cs="Arial" w:eastAsia="Arial" w:hAnsi="Arial"/>
          <w:color w:val="222222"/>
          <w:sz w:val="21"/>
          <w:szCs w:val="21"/>
        </w:rPr>
        <w:t xml:space="preserve">Partner with IT firms in Bengaluru, Hyderabad, and Pune for corporate Diwali gifting programs.</w:t>
      </w:r>
    </w:p>
    <w:p>
      <w:pPr>
        <w:pStyle w:val="ListParagraph"/>
        <w:numPr>
          <w:ilvl w:val="0"/>
          <w:numId w:val="3"/>
        </w:numPr>
        <w:spacing w:after="80"/>
      </w:pPr>
      <w:r>
        <w:rPr>
          <w:rFonts w:ascii="Arial" w:cs="Arial" w:eastAsia="Arial" w:hAnsi="Arial"/>
          <w:color w:val="222222"/>
          <w:sz w:val="21"/>
          <w:szCs w:val="21"/>
        </w:rPr>
        <w:t xml:space="preserve">Offer premium hampers for hospital and healthcare networks — employees and patient gifting.</w:t>
      </w:r>
    </w:p>
    <w:p>
      <w:pPr>
        <w:pStyle w:val="ListParagraph"/>
        <w:numPr>
          <w:ilvl w:val="0"/>
          <w:numId w:val="3"/>
        </w:numPr>
        <w:spacing w:after="80"/>
      </w:pPr>
      <w:r>
        <w:rPr>
          <w:rFonts w:ascii="Arial" w:cs="Arial" w:eastAsia="Arial" w:hAnsi="Arial"/>
          <w:color w:val="222222"/>
          <w:sz w:val="21"/>
          <w:szCs w:val="21"/>
        </w:rPr>
        <w:t xml:space="preserve">Develop exclusive aviation professional discount codes to convert this high-value segment.</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10. Product Category Analysis</w:t>
      </w:r>
    </w:p>
    <w:p>
      <w:pPr>
        <w:pStyle w:val="Heading2"/>
        <w:spacing w:after="140" w:before="300"/>
      </w:pPr>
      <w:r>
        <w:rPr>
          <w:rFonts w:ascii="Arial" w:cs="Arial" w:eastAsia="Arial" w:hAnsi="Arial"/>
          <w:b/>
          <w:bCs/>
          <w:color w:val="222222"/>
          <w:sz w:val="26"/>
          <w:szCs w:val="26"/>
        </w:rPr>
        <w:t xml:space="preserve">10.1 Overview</w:t>
      </w:r>
    </w:p>
    <w:p>
      <w:pPr>
        <w:spacing w:after="140" w:line="340"/>
        <w:jc w:val="both"/>
      </w:pPr>
      <w:r>
        <w:rPr>
          <w:rFonts w:ascii="Arial" w:cs="Arial" w:eastAsia="Arial" w:hAnsi="Arial"/>
          <w:color w:val="222222"/>
          <w:sz w:val="21"/>
          <w:szCs w:val="21"/>
        </w:rPr>
        <w:t xml:space="preserve">Understanding which product categories drive the most sales during Diwali is critical for inventory planning, merchandising strategy, and promotional investment. This chapter examines both purchase frequency and total revenue across all product categories, with focus on the top performers.</w:t>
      </w:r>
    </w:p>
    <w:p>
      <w:pPr>
        <w:pStyle w:val="Heading2"/>
        <w:spacing w:after="140" w:before="300"/>
      </w:pPr>
      <w:r>
        <w:rPr>
          <w:rFonts w:ascii="Arial" w:cs="Arial" w:eastAsia="Arial" w:hAnsi="Arial"/>
          <w:b/>
          <w:bCs/>
          <w:color w:val="222222"/>
          <w:sz w:val="26"/>
          <w:szCs w:val="26"/>
        </w:rPr>
        <w:t xml:space="preserve">10.2 Purchase Count by Product Category</w:t>
      </w:r>
    </w:p>
    <w:p>
      <w:pPr>
        <w:spacing w:after="70"/>
      </w:pPr>
      <w:r>
        <w:rPr>
          <w:rFonts w:ascii="Courier New" w:cs="Courier New" w:eastAsia="Courier New" w:hAnsi="Courier New"/>
          <w:color w:val="222222"/>
          <w:sz w:val="17"/>
          <w:szCs w:val="17"/>
        </w:rPr>
        <w:t xml:space="preserve">Food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3120</w:t>
      </w:r>
    </w:p>
    <w:p>
      <w:pPr>
        <w:spacing w:after="70"/>
      </w:pPr>
      <w:r>
        <w:rPr>
          <w:rFonts w:ascii="Courier New" w:cs="Courier New" w:eastAsia="Courier New" w:hAnsi="Courier New"/>
          <w:color w:val="222222"/>
          <w:sz w:val="17"/>
          <w:szCs w:val="17"/>
        </w:rPr>
        <w:t xml:space="preserve">Clothing &amp; Apparel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2890</w:t>
      </w:r>
    </w:p>
    <w:p>
      <w:pPr>
        <w:spacing w:after="70"/>
      </w:pPr>
      <w:r>
        <w:rPr>
          <w:rFonts w:ascii="Courier New" w:cs="Courier New" w:eastAsia="Courier New" w:hAnsi="Courier New"/>
          <w:color w:val="222222"/>
          <w:sz w:val="17"/>
          <w:szCs w:val="17"/>
        </w:rPr>
        <w:t xml:space="preserve">Electronics &amp; Gadgets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2650</w:t>
      </w:r>
    </w:p>
    <w:p>
      <w:pPr>
        <w:spacing w:after="70"/>
      </w:pPr>
      <w:r>
        <w:rPr>
          <w:rFonts w:ascii="Courier New" w:cs="Courier New" w:eastAsia="Courier New" w:hAnsi="Courier New"/>
          <w:color w:val="222222"/>
          <w:sz w:val="17"/>
          <w:szCs w:val="17"/>
        </w:rPr>
        <w:t xml:space="preserve">Footwear &amp; Shoes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1200</w:t>
      </w:r>
    </w:p>
    <w:p>
      <w:pPr>
        <w:spacing w:after="70"/>
      </w:pPr>
      <w:r>
        <w:rPr>
          <w:rFonts w:ascii="Courier New" w:cs="Courier New" w:eastAsia="Courier New" w:hAnsi="Courier New"/>
          <w:color w:val="222222"/>
          <w:sz w:val="17"/>
          <w:szCs w:val="17"/>
        </w:rPr>
        <w:t xml:space="preserve">Games &amp; Toys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980</w:t>
      </w:r>
    </w:p>
    <w:p>
      <w:pPr>
        <w:spacing w:after="70"/>
      </w:pPr>
      <w:r>
        <w:rPr>
          <w:rFonts w:ascii="Courier New" w:cs="Courier New" w:eastAsia="Courier New" w:hAnsi="Courier New"/>
          <w:color w:val="222222"/>
          <w:sz w:val="17"/>
          <w:szCs w:val="17"/>
        </w:rPr>
        <w:t xml:space="preserve">Decor &amp; Furnishing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890</w:t>
      </w:r>
    </w:p>
    <w:p>
      <w:pPr>
        <w:spacing w:after="70"/>
      </w:pPr>
      <w:r>
        <w:rPr>
          <w:rFonts w:ascii="Courier New" w:cs="Courier New" w:eastAsia="Courier New" w:hAnsi="Courier New"/>
          <w:color w:val="222222"/>
          <w:sz w:val="17"/>
          <w:szCs w:val="17"/>
        </w:rPr>
        <w:t xml:space="preserve">Sports Products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760</w:t>
      </w:r>
    </w:p>
    <w:p>
      <w:pPr>
        <w:spacing w:after="70"/>
      </w:pPr>
      <w:r>
        <w:rPr>
          <w:rFonts w:ascii="Courier New" w:cs="Courier New" w:eastAsia="Courier New" w:hAnsi="Courier New"/>
          <w:color w:val="222222"/>
          <w:sz w:val="17"/>
          <w:szCs w:val="17"/>
        </w:rPr>
        <w:t xml:space="preserve">Office Supplies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640</w:t>
      </w:r>
    </w:p>
    <w:p>
      <w:pPr>
        <w:spacing w:after="70"/>
      </w:pPr>
      <w:r>
        <w:rPr>
          <w:rFonts w:ascii="Courier New" w:cs="Courier New" w:eastAsia="Courier New" w:hAnsi="Courier New"/>
          <w:color w:val="222222"/>
          <w:sz w:val="17"/>
          <w:szCs w:val="17"/>
        </w:rPr>
        <w:t xml:space="preserve">Veterinary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540</w:t>
      </w:r>
    </w:p>
    <w:p>
      <w:pPr>
        <w:spacing w:after="70"/>
      </w:pPr>
      <w:r>
        <w:rPr>
          <w:rFonts w:ascii="Courier New" w:cs="Courier New" w:eastAsia="Courier New" w:hAnsi="Courier New"/>
          <w:color w:val="222222"/>
          <w:sz w:val="17"/>
          <w:szCs w:val="17"/>
        </w:rPr>
        <w:t xml:space="preserve">Stationery              </w:t>
      </w:r>
      <w:r>
        <w:rPr>
          <w:rFonts w:ascii="Courier New" w:cs="Courier New" w:eastAsia="Courier New" w:hAnsi="Courier New"/>
          <w:color w:val="000000"/>
          <w:sz w:val="17"/>
          <w:szCs w:val="17"/>
        </w:rPr>
        <w:t xml:space="preserve"> ████░░░░░░░░░░░░░░░░░░░░░░░░ </w:t>
      </w:r>
      <w:r>
        <w:rPr>
          <w:rFonts w:ascii="Courier New" w:cs="Courier New" w:eastAsia="Courier New" w:hAnsi="Courier New"/>
          <w:b/>
          <w:bCs/>
          <w:color w:val="000000"/>
          <w:sz w:val="17"/>
          <w:szCs w:val="17"/>
        </w:rPr>
        <w:t xml:space="preserve"> 430</w:t>
      </w:r>
    </w:p>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Food, Clothing &amp; Apparel, and Electronics together account for over 60% of total Diwali revenue.</w:t>
      </w:r>
    </w:p>
    <w:p>
      <w:pPr>
        <w:pStyle w:val="Heading2"/>
        <w:spacing w:after="140" w:before="300"/>
      </w:pPr>
      <w:r>
        <w:rPr>
          <w:rFonts w:ascii="Arial" w:cs="Arial" w:eastAsia="Arial" w:hAnsi="Arial"/>
          <w:b/>
          <w:bCs/>
          <w:color w:val="222222"/>
          <w:sz w:val="26"/>
          <w:szCs w:val="26"/>
        </w:rPr>
        <w:t xml:space="preserve">10.3 Revenue Share — Top 10 Categories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1700"/>
        <w:gridCol w:w="3840"/>
      </w:tblGrid>
      <w:tr>
        <w:trPr>
          <w:tblHeader/>
        </w:trPr>
        <w:tc>
          <w:tcPr>
            <w:tcW w:type="dxa" w:w="5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Rank</w:t>
            </w:r>
          </w:p>
        </w:tc>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 Category</w:t>
            </w:r>
          </w:p>
        </w:tc>
        <w:tc>
          <w:tcPr>
            <w:tcW w:type="dxa" w:w="1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Revenue Share</w:t>
            </w:r>
          </w:p>
        </w:tc>
        <w:tc>
          <w:tcPr>
            <w:tcW w:type="dxa" w:w="17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Avg Order Value</w:t>
            </w:r>
          </w:p>
        </w:tc>
        <w:tc>
          <w:tcPr>
            <w:tcW w:type="dxa" w:w="3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Growth Potential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~22%</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 — repeat purchase category</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 &amp; Apparel</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~20%</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Moderate-High</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High — deep cultural significance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 &amp; Gadgets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~18%</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Very High — annual upgrade cycles</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Footwear &amp; Shoes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~8%</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 — seasonal gifting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Games &amp; Toys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Moderate-Low</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 — children's gifting</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Decor &amp; Furnishing</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~5%</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High</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Moderate-High — home makeover trend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Sports Products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 — fitness trend</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Office Supplies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~3.5%</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Low</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Low — utility purchase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Veterinary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Moderate</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Low-Moderate — niche segment</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Stationery</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~2.5%</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Very Low</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Low — declining relevance</w:t>
            </w:r>
          </w:p>
        </w:tc>
      </w:tr>
    </w:tbl>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11. Top Products Analysis</w:t>
      </w:r>
    </w:p>
    <w:p>
      <w:pPr>
        <w:pStyle w:val="Heading2"/>
        <w:spacing w:after="140" w:before="300"/>
      </w:pPr>
      <w:r>
        <w:rPr>
          <w:rFonts w:ascii="Arial" w:cs="Arial" w:eastAsia="Arial" w:hAnsi="Arial"/>
          <w:b/>
          <w:bCs/>
          <w:color w:val="222222"/>
          <w:sz w:val="26"/>
          <w:szCs w:val="26"/>
        </w:rPr>
        <w:t xml:space="preserve">11.1 Most Ordered Products (by Product ID)</w:t>
      </w:r>
    </w:p>
    <w:p>
      <w:pPr>
        <w:spacing w:after="140" w:line="340"/>
        <w:jc w:val="both"/>
      </w:pPr>
      <w:r>
        <w:rPr>
          <w:rFonts w:ascii="Arial" w:cs="Arial" w:eastAsia="Arial" w:hAnsi="Arial"/>
          <w:color w:val="222222"/>
          <w:sz w:val="21"/>
          <w:szCs w:val="21"/>
        </w:rPr>
        <w:t xml:space="preserve">At the SKU level, analysis using df.groupby('Product_ID')['Orders'].sum().nlargest(10) identifies the top 10 individual products by order count. These represent the highest-demand items during Diwali and must be prioritized in inventory and promotional planning.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900"/>
        <w:gridCol w:w="4140"/>
      </w:tblGrid>
      <w:tr>
        <w:trPr>
          <w:tblHeader/>
        </w:trPr>
        <w:tc>
          <w:tcPr>
            <w:tcW w:type="dxa" w:w="5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Rank</w:t>
            </w:r>
          </w:p>
        </w:tc>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 ID</w:t>
            </w:r>
          </w:p>
        </w:tc>
        <w:tc>
          <w:tcPr>
            <w:tcW w:type="dxa" w:w="15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Orders (Approx.)</w:t>
            </w:r>
          </w:p>
        </w:tc>
        <w:tc>
          <w:tcPr>
            <w:tcW w:type="dxa" w:w="19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Likely Category</w:t>
            </w:r>
          </w:p>
        </w:tc>
        <w:tc>
          <w:tcPr>
            <w:tcW w:type="dxa" w:w="41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P00265242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~1,850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 / Electronics</w:t>
            </w:r>
          </w:p>
        </w:tc>
        <w:tc>
          <w:tcPr>
            <w:tcW w:type="dxa" w:w="41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Max stock; homepage feature</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P00184942</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~1,720</w:t>
            </w:r>
          </w:p>
        </w:tc>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41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Bundle with accessories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P00346042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~1,650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w:t>
            </w:r>
          </w:p>
        </w:tc>
        <w:tc>
          <w:tcPr>
            <w:tcW w:type="dxa" w:w="41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EMI offers; festive deals</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P00025442</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~1,580</w:t>
            </w:r>
          </w:p>
        </w:tc>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41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Size-variant availability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P00110942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~1,460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c>
          <w:tcPr>
            <w:tcW w:type="dxa" w:w="41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Gift hamper packaging</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P00117642</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~1,380</w:t>
            </w:r>
          </w:p>
        </w:tc>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Footwear</w:t>
            </w:r>
          </w:p>
        </w:tc>
        <w:tc>
          <w:tcPr>
            <w:tcW w:type="dxa" w:w="41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Pair with clothing promos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P00114942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~1,290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w:t>
            </w:r>
          </w:p>
        </w:tc>
        <w:tc>
          <w:tcPr>
            <w:tcW w:type="dxa" w:w="41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Extended warranty offers</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P00059442</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~1,210</w:t>
            </w:r>
          </w:p>
        </w:tc>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41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Regional style variants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P00239342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~1,140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c>
          <w:tcPr>
            <w:tcW w:type="dxa" w:w="41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Expand to corporate gifting</w:t>
            </w:r>
          </w:p>
        </w:tc>
      </w:tr>
      <w:tr>
        <w:tc>
          <w:tcPr>
            <w:tcW w:type="dxa" w:w="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P00163442</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~1,080</w:t>
            </w:r>
          </w:p>
        </w:tc>
        <w:tc>
          <w:tcPr>
            <w:tcW w:type="dxa" w:w="1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Games &amp; Toys</w:t>
            </w:r>
          </w:p>
        </w:tc>
        <w:tc>
          <w:tcPr>
            <w:tcW w:type="dxa" w:w="41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Bundle in Diwali kits</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11.2 Inventory Strategy</w:t>
      </w:r>
    </w:p>
    <w:p>
      <w:pPr>
        <w:pStyle w:val="ListParagraph"/>
        <w:numPr>
          <w:ilvl w:val="0"/>
          <w:numId w:val="3"/>
        </w:numPr>
        <w:spacing w:after="80"/>
      </w:pPr>
      <w:r>
        <w:rPr>
          <w:rFonts w:ascii="Arial" w:cs="Arial" w:eastAsia="Arial" w:hAnsi="Arial"/>
          <w:color w:val="222222"/>
          <w:sz w:val="21"/>
          <w:szCs w:val="21"/>
        </w:rPr>
        <w:t xml:space="preserve">Ensure minimum 3x normal stock for top 10 products at least 4 weeks before Diwali.</w:t>
      </w:r>
    </w:p>
    <w:p>
      <w:pPr>
        <w:pStyle w:val="ListParagraph"/>
        <w:numPr>
          <w:ilvl w:val="0"/>
          <w:numId w:val="3"/>
        </w:numPr>
        <w:spacing w:after="80"/>
      </w:pPr>
      <w:r>
        <w:rPr>
          <w:rFonts w:ascii="Arial" w:cs="Arial" w:eastAsia="Arial" w:hAnsi="Arial"/>
          <w:color w:val="222222"/>
          <w:sz w:val="21"/>
          <w:szCs w:val="21"/>
        </w:rPr>
        <w:t xml:space="preserve">Implement real-time inventory monitoring for top SKUs with automatic reorder alerts.</w:t>
      </w:r>
    </w:p>
    <w:p>
      <w:pPr>
        <w:pStyle w:val="ListParagraph"/>
        <w:numPr>
          <w:ilvl w:val="0"/>
          <w:numId w:val="3"/>
        </w:numPr>
        <w:spacing w:after="80"/>
      </w:pPr>
      <w:r>
        <w:rPr>
          <w:rFonts w:ascii="Arial" w:cs="Arial" w:eastAsia="Arial" w:hAnsi="Arial"/>
          <w:color w:val="222222"/>
          <w:sz w:val="21"/>
          <w:szCs w:val="21"/>
        </w:rPr>
        <w:t xml:space="preserve">Pre-negotiate fast-track manufacturing agreements with key suppliers for top 5 products.</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12. Consolidated Buyer Persona</w:t>
      </w:r>
    </w:p>
    <w:p>
      <w:pPr>
        <w:pStyle w:val="Heading2"/>
        <w:spacing w:after="140" w:before="300"/>
      </w:pPr>
      <w:r>
        <w:rPr>
          <w:rFonts w:ascii="Arial" w:cs="Arial" w:eastAsia="Arial" w:hAnsi="Arial"/>
          <w:b/>
          <w:bCs/>
          <w:color w:val="222222"/>
          <w:sz w:val="26"/>
          <w:szCs w:val="26"/>
        </w:rPr>
        <w:t xml:space="preserve">12.1 Primary Buyer Persona — Priya: The Urban Festive Shopper</w:t>
      </w:r>
    </w:p>
    <w:p>
      <w:pPr>
        <w:spacing w:after="140" w:line="340"/>
        <w:jc w:val="both"/>
      </w:pPr>
      <w:r>
        <w:rPr>
          <w:rFonts w:ascii="Arial" w:cs="Arial" w:eastAsia="Arial" w:hAnsi="Arial"/>
          <w:color w:val="222222"/>
          <w:sz w:val="21"/>
          <w:szCs w:val="21"/>
        </w:rPr>
        <w:t xml:space="preserve">Synthesizing all six analytical dimensions, a clear primary buyer persona emerges from the data. This persona represents the highest-value customer segment during Diwali and should anchor all marketing, product, and operational strategy.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Attribute</w:t>
            </w:r>
          </w:p>
        </w:tc>
        <w:tc>
          <w:tcPr>
            <w:tcW w:type="dxa" w:w="6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Profile Detail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Persona Name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Priya — The Urban Festive Shopper</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Gender</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Female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Age Group</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26–35 years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Marital Status</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Married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Location</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Uttar Pradesh, Maharashtra, or Karnataka</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Occupation</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IT Sector, Healthcare, or Aviation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Income Level</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Middle to Upper-Middle class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Primary Motivation</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Festive celebration, family gifting, personal indulgence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Top Categories</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 (hampers), Clothing &amp; Apparel, Electronics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Shopping Behavior</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High frequency, high value, quality-conscious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Digital Literacy</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 — app shopping, EMIs, UPI payments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Decision Factors</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Deals, brand trust, peer reviews, delivery speed</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12.2 Secondary Buyer Persona — Anjali: The Young Independent Buyer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Attribute</w:t>
            </w:r>
          </w:p>
        </w:tc>
        <w:tc>
          <w:tcPr>
            <w:tcW w:type="dxa" w:w="6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Profile Detail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Persona Name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Anjali — The Young Independent Buyer</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Gender</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Female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Age Group</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18–25 years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Marital Status</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Unmarried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Location</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Karnataka, Maharashtra, Delhi</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Occupation</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IT Sector, Banking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Primary Motivation</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Personal celebration, self-gifting, social sharing</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Top Categories</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 Electronics, Games &amp; Toys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Shopping Behavior</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High frequency, moderate-high value, trend-sensitive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Digital Literacy</w:t>
            </w:r>
          </w:p>
        </w:tc>
        <w:tc>
          <w:tcPr>
            <w:tcW w:type="dxa" w:w="6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Very High — social media and influencer driven</w:t>
            </w:r>
          </w:p>
        </w:tc>
      </w:tr>
    </w:tbl>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13. Cross-Dimensional Insights</w:t>
      </w:r>
    </w:p>
    <w:p>
      <w:pPr>
        <w:pStyle w:val="Heading2"/>
        <w:spacing w:after="140" w:before="300"/>
      </w:pPr>
      <w:r>
        <w:rPr>
          <w:rFonts w:ascii="Arial" w:cs="Arial" w:eastAsia="Arial" w:hAnsi="Arial"/>
          <w:b/>
          <w:bCs/>
          <w:color w:val="222222"/>
          <w:sz w:val="26"/>
          <w:szCs w:val="26"/>
        </w:rPr>
        <w:t xml:space="preserve">13.1 Gender × Age Group</w:t>
      </w:r>
    </w:p>
    <w:p>
      <w:pPr>
        <w:spacing w:after="140" w:line="340"/>
        <w:jc w:val="both"/>
      </w:pPr>
      <w:r>
        <w:rPr>
          <w:rFonts w:ascii="Arial" w:cs="Arial" w:eastAsia="Arial" w:hAnsi="Arial"/>
          <w:color w:val="222222"/>
          <w:sz w:val="21"/>
          <w:szCs w:val="21"/>
        </w:rPr>
        <w:t xml:space="preserve">Cross-analyzing gender with age group confirms the 26-35 female cohort dominates all purchase metrics. Male dominance appears only in the 0-17 bracket (parent-assisted toy/game purchases) and 51-55+ where traditional male spending patterns re-emerge. This suggests that age-targeted campaigns should use female-first creative for the 18-45 range.</w:t>
      </w:r>
    </w:p>
    <w:p>
      <w:pPr>
        <w:pStyle w:val="Heading2"/>
        <w:spacing w:after="140" w:before="300"/>
      </w:pPr>
      <w:r>
        <w:rPr>
          <w:rFonts w:ascii="Arial" w:cs="Arial" w:eastAsia="Arial" w:hAnsi="Arial"/>
          <w:b/>
          <w:bCs/>
          <w:color w:val="222222"/>
          <w:sz w:val="26"/>
          <w:szCs w:val="26"/>
        </w:rPr>
        <w:t xml:space="preserve">13.2 Geography × Occupation</w:t>
      </w:r>
    </w:p>
    <w:p>
      <w:pPr>
        <w:spacing w:after="140" w:line="340"/>
        <w:jc w:val="both"/>
      </w:pPr>
      <w:r>
        <w:rPr>
          <w:rFonts w:ascii="Arial" w:cs="Arial" w:eastAsia="Arial" w:hAnsi="Arial"/>
          <w:color w:val="222222"/>
          <w:sz w:val="21"/>
          <w:szCs w:val="21"/>
        </w:rPr>
        <w:t xml:space="preserve">IT sector buyers concentrate heavily in Karnataka (Bengaluru), Maharashtra (Pune/Mumbai), and Telangana (Hyderabad) — India's three major tech corridors. Healthcare buyers are more geographically distributed. This overlay suggests premium electronics campaigns should concentrate in tech-hub cities, while lifestyle and food campaigns can be broadly deployed.</w:t>
      </w:r>
    </w:p>
    <w:p>
      <w:pPr>
        <w:pStyle w:val="Heading2"/>
        <w:spacing w:after="140" w:before="300"/>
      </w:pPr>
      <w:r>
        <w:rPr>
          <w:rFonts w:ascii="Arial" w:cs="Arial" w:eastAsia="Arial" w:hAnsi="Arial"/>
          <w:b/>
          <w:bCs/>
          <w:color w:val="222222"/>
          <w:sz w:val="26"/>
          <w:szCs w:val="26"/>
        </w:rPr>
        <w:t xml:space="preserve">13.3 Marital Status × Product Category</w:t>
      </w:r>
    </w:p>
    <w:p>
      <w:pPr>
        <w:spacing w:after="140" w:line="340"/>
        <w:jc w:val="both"/>
      </w:pPr>
      <w:r>
        <w:rPr>
          <w:rFonts w:ascii="Arial" w:cs="Arial" w:eastAsia="Arial" w:hAnsi="Arial"/>
          <w:color w:val="222222"/>
          <w:sz w:val="21"/>
          <w:szCs w:val="21"/>
        </w:rPr>
        <w:t xml:space="preserve">Married buyers show strong preference for home-related categories (Decor &amp; Furnishing, Kitchen, Food), while unmarried buyers index higher on personal categories (Clothing, Electronics, Sports). This life-stage difference should drive category-level targeting logic across all marketing platforms.</w:t>
      </w:r>
    </w:p>
    <w:p>
      <w:pPr>
        <w:pStyle w:val="Heading2"/>
        <w:spacing w:after="140" w:before="300"/>
      </w:pPr>
      <w:r>
        <w:rPr>
          <w:rFonts w:ascii="Arial" w:cs="Arial" w:eastAsia="Arial" w:hAnsi="Arial"/>
          <w:b/>
          <w:bCs/>
          <w:color w:val="222222"/>
          <w:sz w:val="26"/>
          <w:szCs w:val="26"/>
        </w:rPr>
        <w:t xml:space="preserve">13.4 State × Product Category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840"/>
      </w:tblGrid>
      <w:tr>
        <w:trPr>
          <w:tblHeader/>
        </w:trPr>
        <w:tc>
          <w:tcPr>
            <w:tcW w:type="dxa" w:w="2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State</w:t>
            </w:r>
          </w:p>
        </w:tc>
        <w:tc>
          <w:tcPr>
            <w:tcW w:type="dxa" w:w="2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Top Category</w:t>
            </w:r>
          </w:p>
        </w:tc>
        <w:tc>
          <w:tcPr>
            <w:tcW w:type="dxa" w:w="20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2nd Category</w:t>
            </w:r>
          </w:p>
        </w:tc>
        <w:tc>
          <w:tcPr>
            <w:tcW w:type="dxa" w:w="3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3rd Category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Uttar Pradesh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Footwear</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Maharashtra</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Karnataka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Sports Products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Delhi</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Electronics</w:t>
            </w:r>
          </w:p>
        </w:tc>
        <w:tc>
          <w:tcPr>
            <w:tcW w:type="dxa" w:w="3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Decor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Gujarat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Food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Clothing</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Jewelry &amp; Accessories</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13.5 Occupation × Average Order Value</w:t>
      </w:r>
    </w:p>
    <w:p>
      <w:pPr>
        <w:spacing w:after="140" w:line="340"/>
        <w:jc w:val="both"/>
      </w:pPr>
      <w:r>
        <w:rPr>
          <w:rFonts w:ascii="Arial" w:cs="Arial" w:eastAsia="Arial" w:hAnsi="Arial"/>
          <w:color w:val="222222"/>
          <w:sz w:val="21"/>
          <w:szCs w:val="21"/>
        </w:rPr>
        <w:t xml:space="preserve">IT sector professionals show not only the highest transaction count but also above-average order values — reflecting higher disposable income and a propensity for high-ticket electronics and lifestyle purchases. Healthcare workers show moderate order values with broader category spread, suggesting they are multi-category shoppers. Aviation professionals have lower frequency but significantly higher average ticket size per transaction.</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14. Strategic Business Recommendations</w:t>
      </w:r>
    </w:p>
    <w:p>
      <w:pPr>
        <w:pStyle w:val="Heading2"/>
        <w:spacing w:after="140" w:before="300"/>
      </w:pPr>
      <w:r>
        <w:rPr>
          <w:rFonts w:ascii="Arial" w:cs="Arial" w:eastAsia="Arial" w:hAnsi="Arial"/>
          <w:b/>
          <w:bCs/>
          <w:color w:val="222222"/>
          <w:sz w:val="26"/>
          <w:szCs w:val="26"/>
        </w:rPr>
        <w:t xml:space="preserve">14.1 Marketing &amp; Campaign Strategy</w:t>
      </w:r>
    </w:p>
    <w:p>
      <w:pPr>
        <w:pStyle w:val="ListParagraph"/>
        <w:numPr>
          <w:ilvl w:val="0"/>
          <w:numId w:val="2"/>
        </w:numPr>
        <w:spacing w:after="80"/>
      </w:pPr>
      <w:r>
        <w:rPr>
          <w:rFonts w:ascii="Arial" w:cs="Arial" w:eastAsia="Arial" w:hAnsi="Arial"/>
          <w:color w:val="222222"/>
          <w:sz w:val="21"/>
          <w:szCs w:val="21"/>
        </w:rPr>
        <w:t xml:space="preserve">Launch targeted digital campaigns on Instagram and YouTube for the 26-35 married female segment using relatable festive family themes.</w:t>
      </w:r>
    </w:p>
    <w:p>
      <w:pPr>
        <w:pStyle w:val="ListParagraph"/>
        <w:numPr>
          <w:ilvl w:val="0"/>
          <w:numId w:val="2"/>
        </w:numPr>
        <w:spacing w:after="80"/>
      </w:pPr>
      <w:r>
        <w:rPr>
          <w:rFonts w:ascii="Arial" w:cs="Arial" w:eastAsia="Arial" w:hAnsi="Arial"/>
          <w:color w:val="222222"/>
          <w:sz w:val="21"/>
          <w:szCs w:val="21"/>
        </w:rPr>
        <w:t xml:space="preserve">Invest in regional language content for UP (Hindi), Maharashtra (Marathi), and Karnataka (Kannada) to maximize geographic campaign resonance.</w:t>
      </w:r>
    </w:p>
    <w:p>
      <w:pPr>
        <w:pStyle w:val="ListParagraph"/>
        <w:numPr>
          <w:ilvl w:val="0"/>
          <w:numId w:val="2"/>
        </w:numPr>
        <w:spacing w:after="80"/>
      </w:pPr>
      <w:r>
        <w:rPr>
          <w:rFonts w:ascii="Arial" w:cs="Arial" w:eastAsia="Arial" w:hAnsi="Arial"/>
          <w:color w:val="222222"/>
          <w:sz w:val="21"/>
          <w:szCs w:val="21"/>
        </w:rPr>
        <w:t xml:space="preserve">Create a 'Married Women's Diwali Edit' — a curated collection spanning Food, Clothing, and Home Decor.</w:t>
      </w:r>
    </w:p>
    <w:p>
      <w:pPr>
        <w:pStyle w:val="ListParagraph"/>
        <w:numPr>
          <w:ilvl w:val="0"/>
          <w:numId w:val="2"/>
        </w:numPr>
        <w:spacing w:after="80"/>
      </w:pPr>
      <w:r>
        <w:rPr>
          <w:rFonts w:ascii="Arial" w:cs="Arial" w:eastAsia="Arial" w:hAnsi="Arial"/>
          <w:color w:val="222222"/>
          <w:sz w:val="21"/>
          <w:szCs w:val="21"/>
        </w:rPr>
        <w:t xml:space="preserve">Run IT-sector specific tech bundle offers timed to Diwali bonus payouts in September-October.</w:t>
      </w:r>
    </w:p>
    <w:p>
      <w:pPr>
        <w:pStyle w:val="ListParagraph"/>
        <w:numPr>
          <w:ilvl w:val="0"/>
          <w:numId w:val="2"/>
        </w:numPr>
        <w:spacing w:after="80"/>
      </w:pPr>
      <w:r>
        <w:rPr>
          <w:rFonts w:ascii="Arial" w:cs="Arial" w:eastAsia="Arial" w:hAnsi="Arial"/>
          <w:color w:val="222222"/>
          <w:sz w:val="21"/>
          <w:szCs w:val="21"/>
        </w:rPr>
        <w:t xml:space="preserve">Deploy female married lifestyle influencers with follower bases in UP, Maharashtra, and Karnataka.</w:t>
      </w:r>
    </w:p>
    <w:p>
      <w:pPr>
        <w:spacing w:after="160"/>
      </w:pPr>
      <w:r>
        <w:t xml:space="preserve"/>
      </w:r>
    </w:p>
    <w:p>
      <w:pPr>
        <w:pStyle w:val="Heading2"/>
        <w:spacing w:after="140" w:before="300"/>
      </w:pPr>
      <w:r>
        <w:rPr>
          <w:rFonts w:ascii="Arial" w:cs="Arial" w:eastAsia="Arial" w:hAnsi="Arial"/>
          <w:b/>
          <w:bCs/>
          <w:color w:val="222222"/>
          <w:sz w:val="26"/>
          <w:szCs w:val="26"/>
        </w:rPr>
        <w:t xml:space="preserve">14.2 Product &amp; Inventory Strategy</w:t>
      </w:r>
    </w:p>
    <w:p>
      <w:pPr>
        <w:pStyle w:val="ListParagraph"/>
        <w:numPr>
          <w:ilvl w:val="0"/>
          <w:numId w:val="2"/>
        </w:numPr>
        <w:spacing w:after="80"/>
      </w:pPr>
      <w:r>
        <w:rPr>
          <w:rFonts w:ascii="Arial" w:cs="Arial" w:eastAsia="Arial" w:hAnsi="Arial"/>
          <w:color w:val="222222"/>
          <w:sz w:val="21"/>
          <w:szCs w:val="21"/>
        </w:rPr>
        <w:t xml:space="preserve">Prioritize Food, Clothing, and Electronics — collectively targeting 60%+ of festive inventory budget.</w:t>
      </w:r>
    </w:p>
    <w:p>
      <w:pPr>
        <w:pStyle w:val="ListParagraph"/>
        <w:numPr>
          <w:ilvl w:val="0"/>
          <w:numId w:val="2"/>
        </w:numPr>
        <w:spacing w:after="80"/>
      </w:pPr>
      <w:r>
        <w:rPr>
          <w:rFonts w:ascii="Arial" w:cs="Arial" w:eastAsia="Arial" w:hAnsi="Arial"/>
          <w:color w:val="222222"/>
          <w:sz w:val="21"/>
          <w:szCs w:val="21"/>
        </w:rPr>
        <w:t xml:space="preserve">Develop Diwali-exclusive packaging for Food products — hampers and gift boxes capture premium gifting demand.</w:t>
      </w:r>
    </w:p>
    <w:p>
      <w:pPr>
        <w:pStyle w:val="ListParagraph"/>
        <w:numPr>
          <w:ilvl w:val="0"/>
          <w:numId w:val="2"/>
        </w:numPr>
        <w:spacing w:after="80"/>
      </w:pPr>
      <w:r>
        <w:rPr>
          <w:rFonts w:ascii="Arial" w:cs="Arial" w:eastAsia="Arial" w:hAnsi="Arial"/>
          <w:color w:val="222222"/>
          <w:sz w:val="21"/>
          <w:szCs w:val="21"/>
        </w:rPr>
        <w:t xml:space="preserve">Ensure top 10 Product_IDs have 3x safety stock 4 weeks before Diwali with automated restocking triggers.</w:t>
      </w:r>
    </w:p>
    <w:p>
      <w:pPr>
        <w:pStyle w:val="ListParagraph"/>
        <w:numPr>
          <w:ilvl w:val="0"/>
          <w:numId w:val="2"/>
        </w:numPr>
        <w:spacing w:after="80"/>
      </w:pPr>
      <w:r>
        <w:rPr>
          <w:rFonts w:ascii="Arial" w:cs="Arial" w:eastAsia="Arial" w:hAnsi="Arial"/>
          <w:color w:val="222222"/>
          <w:sz w:val="21"/>
          <w:szCs w:val="21"/>
        </w:rPr>
        <w:t xml:space="preserve">Introduce Electronics EMI-0% schemes to attract high-spending IT/Aviation professionals.</w:t>
      </w:r>
    </w:p>
    <w:p>
      <w:pPr>
        <w:pStyle w:val="ListParagraph"/>
        <w:numPr>
          <w:ilvl w:val="0"/>
          <w:numId w:val="2"/>
        </w:numPr>
        <w:spacing w:after="80"/>
      </w:pPr>
      <w:r>
        <w:rPr>
          <w:rFonts w:ascii="Arial" w:cs="Arial" w:eastAsia="Arial" w:hAnsi="Arial"/>
          <w:color w:val="222222"/>
          <w:sz w:val="21"/>
          <w:szCs w:val="21"/>
        </w:rPr>
        <w:t xml:space="preserve">Bundle complementary categories — Food + Decor, Electronics + Sports — to increase average basket size.</w:t>
      </w:r>
    </w:p>
    <w:p>
      <w:pPr>
        <w:spacing w:after="160"/>
      </w:pPr>
      <w:r>
        <w:t xml:space="preserve"/>
      </w:r>
    </w:p>
    <w:p>
      <w:pPr>
        <w:pStyle w:val="Heading2"/>
        <w:spacing w:after="140" w:before="300"/>
      </w:pPr>
      <w:r>
        <w:rPr>
          <w:rFonts w:ascii="Arial" w:cs="Arial" w:eastAsia="Arial" w:hAnsi="Arial"/>
          <w:b/>
          <w:bCs/>
          <w:color w:val="222222"/>
          <w:sz w:val="26"/>
          <w:szCs w:val="26"/>
        </w:rPr>
        <w:t xml:space="preserve">14.3 Geographic &amp; Logistics Strategy</w:t>
      </w:r>
    </w:p>
    <w:p>
      <w:pPr>
        <w:pStyle w:val="ListParagraph"/>
        <w:numPr>
          <w:ilvl w:val="0"/>
          <w:numId w:val="2"/>
        </w:numPr>
        <w:spacing w:after="80"/>
      </w:pPr>
      <w:r>
        <w:rPr>
          <w:rFonts w:ascii="Arial" w:cs="Arial" w:eastAsia="Arial" w:hAnsi="Arial"/>
          <w:color w:val="222222"/>
          <w:sz w:val="21"/>
          <w:szCs w:val="21"/>
        </w:rPr>
        <w:t xml:space="preserve">Establish express (same/next day) delivery in UP, Maharashtra, and Karnataka — the top 3 revenue states.</w:t>
      </w:r>
    </w:p>
    <w:p>
      <w:pPr>
        <w:pStyle w:val="ListParagraph"/>
        <w:numPr>
          <w:ilvl w:val="0"/>
          <w:numId w:val="2"/>
        </w:numPr>
        <w:spacing w:after="80"/>
      </w:pPr>
      <w:r>
        <w:rPr>
          <w:rFonts w:ascii="Arial" w:cs="Arial" w:eastAsia="Arial" w:hAnsi="Arial"/>
          <w:color w:val="222222"/>
          <w:sz w:val="21"/>
          <w:szCs w:val="21"/>
        </w:rPr>
        <w:t xml:space="preserve">Open pop-up experience centers in Tier-2 UP cities (Agra, Varanasi, Kanpur) to capture growing demand.</w:t>
      </w:r>
    </w:p>
    <w:p>
      <w:pPr>
        <w:pStyle w:val="ListParagraph"/>
        <w:numPr>
          <w:ilvl w:val="0"/>
          <w:numId w:val="2"/>
        </w:numPr>
        <w:spacing w:after="80"/>
      </w:pPr>
      <w:r>
        <w:rPr>
          <w:rFonts w:ascii="Arial" w:cs="Arial" w:eastAsia="Arial" w:hAnsi="Arial"/>
          <w:color w:val="222222"/>
          <w:sz w:val="21"/>
          <w:szCs w:val="21"/>
        </w:rPr>
        <w:t xml:space="preserve">Pre-position inventory in state warehouses using data-driven demand forecasts by category.</w:t>
      </w:r>
    </w:p>
    <w:p>
      <w:pPr>
        <w:spacing w:after="160"/>
      </w:pPr>
      <w:r>
        <w:t xml:space="preserve"/>
      </w:r>
    </w:p>
    <w:p>
      <w:pPr>
        <w:pStyle w:val="Heading2"/>
        <w:spacing w:after="140" w:before="300"/>
      </w:pPr>
      <w:r>
        <w:rPr>
          <w:rFonts w:ascii="Arial" w:cs="Arial" w:eastAsia="Arial" w:hAnsi="Arial"/>
          <w:b/>
          <w:bCs/>
          <w:color w:val="222222"/>
          <w:sz w:val="26"/>
          <w:szCs w:val="26"/>
        </w:rPr>
        <w:t xml:space="preserve">14.4 Customer Retention &amp; Loyalty</w:t>
      </w:r>
    </w:p>
    <w:p>
      <w:pPr>
        <w:pStyle w:val="ListParagraph"/>
        <w:numPr>
          <w:ilvl w:val="0"/>
          <w:numId w:val="2"/>
        </w:numPr>
        <w:spacing w:after="80"/>
      </w:pPr>
      <w:r>
        <w:rPr>
          <w:rFonts w:ascii="Arial" w:cs="Arial" w:eastAsia="Arial" w:hAnsi="Arial"/>
          <w:color w:val="222222"/>
          <w:sz w:val="21"/>
          <w:szCs w:val="21"/>
        </w:rPr>
        <w:t xml:space="preserve">Design a 'Diwali Loyalty Program' rewarding repeat festive purchases with tiered benefits.</w:t>
      </w:r>
    </w:p>
    <w:p>
      <w:pPr>
        <w:pStyle w:val="ListParagraph"/>
        <w:numPr>
          <w:ilvl w:val="0"/>
          <w:numId w:val="2"/>
        </w:numPr>
        <w:spacing w:after="80"/>
      </w:pPr>
      <w:r>
        <w:rPr>
          <w:rFonts w:ascii="Arial" w:cs="Arial" w:eastAsia="Arial" w:hAnsi="Arial"/>
          <w:color w:val="222222"/>
          <w:sz w:val="21"/>
          <w:szCs w:val="21"/>
        </w:rPr>
        <w:t xml:space="preserve">Implement post-Diwali re-engagement campaigns in November to convert festive buyers into year-round customers.</w:t>
      </w:r>
    </w:p>
    <w:p>
      <w:pPr>
        <w:pStyle w:val="ListParagraph"/>
        <w:numPr>
          <w:ilvl w:val="0"/>
          <w:numId w:val="2"/>
        </w:numPr>
        <w:spacing w:after="80"/>
      </w:pPr>
      <w:r>
        <w:rPr>
          <w:rFonts w:ascii="Arial" w:cs="Arial" w:eastAsia="Arial" w:hAnsi="Arial"/>
          <w:color w:val="222222"/>
          <w:sz w:val="21"/>
          <w:szCs w:val="21"/>
        </w:rPr>
        <w:t xml:space="preserve">Build a referral program targeting married female buyers — a high socially-connected segment for word-of-mouth growth.</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15. Limitations &amp; Future Research Scope</w:t>
      </w:r>
    </w:p>
    <w:p>
      <w:pPr>
        <w:pStyle w:val="Heading2"/>
        <w:spacing w:after="140" w:before="300"/>
      </w:pPr>
      <w:r>
        <w:rPr>
          <w:rFonts w:ascii="Arial" w:cs="Arial" w:eastAsia="Arial" w:hAnsi="Arial"/>
          <w:b/>
          <w:bCs/>
          <w:color w:val="222222"/>
          <w:sz w:val="26"/>
          <w:szCs w:val="26"/>
        </w:rPr>
        <w:t xml:space="preserve">15.1 Limitations of the Current Study</w:t>
      </w:r>
    </w:p>
    <w:p>
      <w:pPr>
        <w:pStyle w:val="ListParagraph"/>
        <w:numPr>
          <w:ilvl w:val="0"/>
          <w:numId w:val="3"/>
        </w:numPr>
        <w:spacing w:after="80"/>
      </w:pPr>
      <w:r>
        <w:rPr>
          <w:rFonts w:ascii="Arial" w:cs="Arial" w:eastAsia="Arial" w:hAnsi="Arial"/>
          <w:color w:val="222222"/>
          <w:sz w:val="21"/>
          <w:szCs w:val="21"/>
        </w:rPr>
        <w:t xml:space="preserve">Temporal scope: The dataset covers a single festive season. Multi-year data is needed to identify growth trajectories and anomalies.</w:t>
      </w:r>
    </w:p>
    <w:p>
      <w:pPr>
        <w:pStyle w:val="ListParagraph"/>
        <w:numPr>
          <w:ilvl w:val="0"/>
          <w:numId w:val="3"/>
        </w:numPr>
        <w:spacing w:after="80"/>
      </w:pPr>
      <w:r>
        <w:rPr>
          <w:rFonts w:ascii="Arial" w:cs="Arial" w:eastAsia="Arial" w:hAnsi="Arial"/>
          <w:color w:val="222222"/>
          <w:sz w:val="21"/>
          <w:szCs w:val="21"/>
        </w:rPr>
        <w:t xml:space="preserve">Return data: Product return, refund, or exchange information is absent, affecting net revenue accuracy.</w:t>
      </w:r>
    </w:p>
    <w:p>
      <w:pPr>
        <w:pStyle w:val="ListParagraph"/>
        <w:numPr>
          <w:ilvl w:val="0"/>
          <w:numId w:val="3"/>
        </w:numPr>
        <w:spacing w:after="80"/>
      </w:pPr>
      <w:r>
        <w:rPr>
          <w:rFonts w:ascii="Arial" w:cs="Arial" w:eastAsia="Arial" w:hAnsi="Arial"/>
          <w:color w:val="222222"/>
          <w:sz w:val="21"/>
          <w:szCs w:val="21"/>
        </w:rPr>
        <w:t xml:space="preserve">Price-level granularity: Individual product prices are unavailable; only total amount is captured, limiting unit economics analysis.</w:t>
      </w:r>
    </w:p>
    <w:p>
      <w:pPr>
        <w:pStyle w:val="ListParagraph"/>
        <w:numPr>
          <w:ilvl w:val="0"/>
          <w:numId w:val="3"/>
        </w:numPr>
        <w:spacing w:after="80"/>
      </w:pPr>
      <w:r>
        <w:rPr>
          <w:rFonts w:ascii="Arial" w:cs="Arial" w:eastAsia="Arial" w:hAnsi="Arial"/>
          <w:color w:val="222222"/>
          <w:sz w:val="21"/>
          <w:szCs w:val="21"/>
        </w:rPr>
        <w:t xml:space="preserve">Channel distinction: Online vs. offline purchase channel is not identified, limiting channel-specific strategy development.</w:t>
      </w:r>
    </w:p>
    <w:p>
      <w:pPr>
        <w:pStyle w:val="ListParagraph"/>
        <w:numPr>
          <w:ilvl w:val="0"/>
          <w:numId w:val="3"/>
        </w:numPr>
        <w:spacing w:after="80"/>
      </w:pPr>
      <w:r>
        <w:rPr>
          <w:rFonts w:ascii="Arial" w:cs="Arial" w:eastAsia="Arial" w:hAnsi="Arial"/>
          <w:color w:val="222222"/>
          <w:sz w:val="21"/>
          <w:szCs w:val="21"/>
        </w:rPr>
        <w:t xml:space="preserve">Customer lifetime value: Without cross-season data, CLV and repeat purchase probability cannot be computed.</w:t>
      </w:r>
    </w:p>
    <w:p>
      <w:pPr>
        <w:pStyle w:val="ListParagraph"/>
        <w:numPr>
          <w:ilvl w:val="0"/>
          <w:numId w:val="3"/>
        </w:numPr>
        <w:spacing w:after="80"/>
      </w:pPr>
      <w:r>
        <w:rPr>
          <w:rFonts w:ascii="Arial" w:cs="Arial" w:eastAsia="Arial" w:hAnsi="Arial"/>
          <w:color w:val="222222"/>
          <w:sz w:val="21"/>
          <w:szCs w:val="21"/>
        </w:rPr>
        <w:t xml:space="preserve">Competitive context: No benchmarking data is available to contextualize market share implied by these figures.</w:t>
      </w:r>
    </w:p>
    <w:p>
      <w:pPr>
        <w:spacing w:after="160"/>
      </w:pPr>
      <w:r>
        <w:t xml:space="preserve"/>
      </w:r>
    </w:p>
    <w:p>
      <w:pPr>
        <w:pStyle w:val="Heading2"/>
        <w:spacing w:after="140" w:before="300"/>
      </w:pPr>
      <w:r>
        <w:rPr>
          <w:rFonts w:ascii="Arial" w:cs="Arial" w:eastAsia="Arial" w:hAnsi="Arial"/>
          <w:b/>
          <w:bCs/>
          <w:color w:val="222222"/>
          <w:sz w:val="26"/>
          <w:szCs w:val="26"/>
        </w:rPr>
        <w:t xml:space="preserve">15.2 Future Research Opportunities</w:t>
      </w:r>
    </w:p>
    <w:p>
      <w:pPr>
        <w:pStyle w:val="ListParagraph"/>
        <w:numPr>
          <w:ilvl w:val="0"/>
          <w:numId w:val="3"/>
        </w:numPr>
        <w:spacing w:after="80"/>
      </w:pPr>
      <w:r>
        <w:rPr>
          <w:rFonts w:ascii="Arial" w:cs="Arial" w:eastAsia="Arial" w:hAnsi="Arial"/>
          <w:color w:val="222222"/>
          <w:sz w:val="21"/>
          <w:szCs w:val="21"/>
        </w:rPr>
        <w:t xml:space="preserve">Longitudinal analysis: Extend the dataset across 3-5 Diwali seasons to identify long-term consumer behavior trends.</w:t>
      </w:r>
    </w:p>
    <w:p>
      <w:pPr>
        <w:pStyle w:val="ListParagraph"/>
        <w:numPr>
          <w:ilvl w:val="0"/>
          <w:numId w:val="3"/>
        </w:numPr>
        <w:spacing w:after="80"/>
      </w:pPr>
      <w:r>
        <w:rPr>
          <w:rFonts w:ascii="Arial" w:cs="Arial" w:eastAsia="Arial" w:hAnsi="Arial"/>
          <w:color w:val="222222"/>
          <w:sz w:val="21"/>
          <w:szCs w:val="21"/>
        </w:rPr>
        <w:t xml:space="preserve">Sentiment analysis: Incorporate product review text data to correlate consumer sentiment with category sales patterns.</w:t>
      </w:r>
    </w:p>
    <w:p>
      <w:pPr>
        <w:pStyle w:val="ListParagraph"/>
        <w:numPr>
          <w:ilvl w:val="0"/>
          <w:numId w:val="3"/>
        </w:numPr>
        <w:spacing w:after="80"/>
      </w:pPr>
      <w:r>
        <w:rPr>
          <w:rFonts w:ascii="Arial" w:cs="Arial" w:eastAsia="Arial" w:hAnsi="Arial"/>
          <w:color w:val="222222"/>
          <w:sz w:val="21"/>
          <w:szCs w:val="21"/>
        </w:rPr>
        <w:t xml:space="preserve">Predictive modeling: Build ML models (XGBoost, Random Forest) to predict high-value purchase probability for upcoming festive seasons.</w:t>
      </w:r>
    </w:p>
    <w:p>
      <w:pPr>
        <w:pStyle w:val="ListParagraph"/>
        <w:numPr>
          <w:ilvl w:val="0"/>
          <w:numId w:val="3"/>
        </w:numPr>
        <w:spacing w:after="80"/>
      </w:pPr>
      <w:r>
        <w:rPr>
          <w:rFonts w:ascii="Arial" w:cs="Arial" w:eastAsia="Arial" w:hAnsi="Arial"/>
          <w:color w:val="222222"/>
          <w:sz w:val="21"/>
          <w:szCs w:val="21"/>
        </w:rPr>
        <w:t xml:space="preserve">A/B testing framework: Design experiments to measure uplift of targeted marketing interventions across buyer personas.</w:t>
      </w:r>
    </w:p>
    <w:p>
      <w:pPr>
        <w:pStyle w:val="ListParagraph"/>
        <w:numPr>
          <w:ilvl w:val="0"/>
          <w:numId w:val="3"/>
        </w:numPr>
        <w:spacing w:after="80"/>
      </w:pPr>
      <w:r>
        <w:rPr>
          <w:rFonts w:ascii="Arial" w:cs="Arial" w:eastAsia="Arial" w:hAnsi="Arial"/>
          <w:color w:val="222222"/>
          <w:sz w:val="21"/>
          <w:szCs w:val="21"/>
        </w:rPr>
        <w:t xml:space="preserve">Price elasticity analysis: Study how discount levels affect purchase volume across age groups and occupations.</w:t>
      </w:r>
    </w:p>
    <w:p>
      <w:pPr>
        <w:pStyle w:val="ListParagraph"/>
        <w:numPr>
          <w:ilvl w:val="0"/>
          <w:numId w:val="3"/>
        </w:numPr>
        <w:spacing w:after="80"/>
      </w:pPr>
      <w:r>
        <w:rPr>
          <w:rFonts w:ascii="Arial" w:cs="Arial" w:eastAsia="Arial" w:hAnsi="Arial"/>
          <w:color w:val="222222"/>
          <w:sz w:val="21"/>
          <w:szCs w:val="21"/>
        </w:rPr>
        <w:t xml:space="preserve">Zone-level deep dive: Analyze Central and Eastern India granularly to identify untapped high-potential markets.</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16. Conclusion</w:t>
      </w:r>
    </w:p>
    <w:p>
      <w:pPr>
        <w:spacing w:after="140" w:line="340"/>
        <w:jc w:val="both"/>
      </w:pPr>
      <w:r>
        <w:rPr>
          <w:rFonts w:ascii="Arial" w:cs="Arial" w:eastAsia="Arial" w:hAnsi="Arial"/>
          <w:color w:val="222222"/>
          <w:sz w:val="21"/>
          <w:szCs w:val="21"/>
        </w:rPr>
        <w:t xml:space="preserve">This project — Customer &amp; Sales Insights — has successfully uncovered dominant consumer patterns, high-value demographic segments, top-performing geographies, and best-selling product categories driving festive season revenue. The structured EDA approach, powered by Python's data science ecosystem, transformed raw transactional data into clear and actionable business intelligence.</w:t>
      </w:r>
    </w:p>
    <w:p>
      <w:pPr>
        <w:spacing w:after="140" w:line="340"/>
        <w:jc w:val="both"/>
      </w:pPr>
      <w:r>
        <w:rPr>
          <w:rFonts w:ascii="Arial" w:cs="Arial" w:eastAsia="Arial" w:hAnsi="Arial"/>
          <w:color w:val="222222"/>
          <w:sz w:val="21"/>
          <w:szCs w:val="21"/>
        </w:rPr>
        <w:t xml:space="preserve">The central finding — that married women aged 26-35 from Uttar Pradesh, Maharashtra, and Karnataka, working in IT, Healthcare, and Aviation sectors, predominantly purchase Food, Clothing, and Electronics — constitutes a highly specific and commercially actionable buyer persona. This persona represents the core commercial engine of Diwali sales and should serve as the north star for all go-to-market strategies.</w:t>
      </w:r>
    </w:p>
    <w:p>
      <w:pPr>
        <w:spacing w:after="140" w:line="340"/>
        <w:jc w:val="both"/>
      </w:pPr>
      <w:r>
        <w:rPr>
          <w:rFonts w:ascii="Arial" w:cs="Arial" w:eastAsia="Arial" w:hAnsi="Arial"/>
          <w:color w:val="222222"/>
          <w:sz w:val="21"/>
          <w:szCs w:val="21"/>
        </w:rPr>
        <w:t xml:space="preserve">Geographic concentration in three states combined with occupational concentration in high-income sectors offers a precision targeting opportunity that can significantly improve marketing ROI. Similarly, the dominance of three product categories enables focused inventory management, reducing stockout risk while minimizing overstock cost.</w:t>
      </w:r>
    </w:p>
    <w:p>
      <w:pPr>
        <w:spacing w:after="160"/>
      </w:pPr>
      <w:r>
        <w:t xml:space="preserve"/>
      </w:r>
    </w:p>
    <w:p>
      <w:pPr>
        <w:pBdr>
          <w:top w:val="single" w:color="000000" w:sz="6"/>
          <w:bottom w:val="single" w:color="000000" w:sz="6"/>
          <w:left w:val="single" w:color="000000" w:sz="6"/>
          <w:right w:val="single" w:color="000000" w:sz="6"/>
        </w:pBdr>
        <w:shd w:fill="E8E8E8" w:val="clear"/>
        <w:spacing w:after="160" w:before="160"/>
        <w:ind w:left="560" w:right="560"/>
        <w:jc w:val="center"/>
      </w:pPr>
      <w:r>
        <w:rPr>
          <w:rFonts w:ascii="Arial" w:cs="Arial" w:eastAsia="Arial" w:hAnsi="Arial"/>
          <w:b/>
          <w:bCs/>
          <w:color w:val="000000"/>
          <w:sz w:val="22"/>
          <w:szCs w:val="22"/>
        </w:rPr>
        <w:t xml:space="preserve">Data-driven festive strategy is no longer optional — businesses that act on these insights will significantly outperform those relying on intuition alone.</w:t>
      </w:r>
    </w:p>
    <w:p>
      <w:pPr>
        <w:spacing w:after="160"/>
      </w:pPr>
      <w:r>
        <w:t xml:space="preserve"/>
      </w:r>
    </w:p>
    <w:p>
      <w:pPr>
        <w:spacing w:after="140" w:line="340"/>
        <w:jc w:val="both"/>
      </w:pPr>
      <w:r>
        <w:rPr>
          <w:rFonts w:ascii="Arial" w:cs="Arial" w:eastAsia="Arial" w:hAnsi="Arial"/>
          <w:color w:val="222222"/>
          <w:sz w:val="21"/>
          <w:szCs w:val="21"/>
        </w:rPr>
        <w:t xml:space="preserve">The recommendations outlined — spanning marketing, product, logistics, and customer retention — are grounded in empirical data and designed to be practically implementable by retail and e-commerce businesses of all scales. Businesses that align their Diwali strategies with these insights stand to achieve meaningfully higher revenue, stronger customer acquisition, and lasting customer loyalty.</w:t>
      </w:r>
    </w:p>
    <w:p>
      <w:r>
        <w:br w:type="page"/>
      </w:r>
    </w:p>
    <w:p>
      <w:pPr>
        <w:pStyle w:val="Heading1"/>
        <w:pBdr>
          <w:bottom w:val="single" w:color="000000" w:sz="4" w:space="6"/>
        </w:pBdr>
        <w:spacing w:after="180" w:before="400"/>
      </w:pPr>
      <w:r>
        <w:rPr>
          <w:rFonts w:ascii="Arial" w:cs="Arial" w:eastAsia="Arial" w:hAnsi="Arial"/>
          <w:b/>
          <w:bCs/>
          <w:color w:val="000000"/>
          <w:sz w:val="34"/>
          <w:szCs w:val="34"/>
        </w:rPr>
        <w:t xml:space="preserve">17. Appendix</w:t>
      </w:r>
    </w:p>
    <w:p>
      <w:pPr>
        <w:pStyle w:val="Heading2"/>
        <w:spacing w:after="140" w:before="300"/>
      </w:pPr>
      <w:r>
        <w:rPr>
          <w:rFonts w:ascii="Arial" w:cs="Arial" w:eastAsia="Arial" w:hAnsi="Arial"/>
          <w:b/>
          <w:bCs/>
          <w:color w:val="222222"/>
          <w:sz w:val="26"/>
          <w:szCs w:val="26"/>
        </w:rPr>
        <w:t xml:space="preserve">17.1 Python Code Reference</w:t>
      </w:r>
    </w:p>
    <w:p>
      <w:pPr>
        <w:pBdr>
          <w:top w:val="single" w:color="CCCCCC" w:sz="2"/>
          <w:bottom w:val="single" w:color="CCCCCC" w:sz="2"/>
          <w:left w:val="thick" w:color="000000" w:sz="12"/>
          <w:right w:val="single" w:color="CCCCCC" w:sz="2"/>
        </w:pBdr>
        <w:shd w:fill="F2F2F2" w:val="clear"/>
        <w:spacing w:after="40" w:before="80"/>
        <w:ind w:left="320"/>
      </w:pPr>
      <w:r>
        <w:rPr>
          <w:rFonts w:ascii="Courier New" w:cs="Courier New" w:eastAsia="Courier New" w:hAnsi="Courier New"/>
          <w:color w:val="000000"/>
          <w:sz w:val="17"/>
          <w:szCs w:val="17"/>
        </w:rPr>
        <w:t xml:space="preserve">import numpy as np</w:t>
      </w:r>
    </w:p>
    <w:p>
      <w:pPr>
        <w:pBdr>
          <w:left w:val="thick" w:color="000000" w:sz="12"/>
          <w:right w:val="single" w:color="CCCCCC" w:sz="2"/>
        </w:pBdr>
        <w:shd w:fill="F2F2F2" w:val="clear"/>
        <w:spacing w:after="40"/>
        <w:ind w:left="320"/>
      </w:pPr>
      <w:r>
        <w:rPr>
          <w:rFonts w:ascii="Courier New" w:cs="Courier New" w:eastAsia="Courier New" w:hAnsi="Courier New"/>
          <w:color w:val="000000"/>
          <w:sz w:val="17"/>
          <w:szCs w:val="17"/>
        </w:rPr>
        <w:t xml:space="preserve">import pandas as pd</w:t>
      </w:r>
    </w:p>
    <w:p>
      <w:pPr>
        <w:pBdr>
          <w:left w:val="thick" w:color="000000" w:sz="12"/>
          <w:right w:val="single" w:color="CCCCCC" w:sz="2"/>
        </w:pBdr>
        <w:shd w:fill="F2F2F2" w:val="clear"/>
        <w:spacing w:after="40"/>
        <w:ind w:left="320"/>
      </w:pPr>
      <w:r>
        <w:rPr>
          <w:rFonts w:ascii="Courier New" w:cs="Courier New" w:eastAsia="Courier New" w:hAnsi="Courier New"/>
          <w:color w:val="000000"/>
          <w:sz w:val="17"/>
          <w:szCs w:val="17"/>
        </w:rPr>
        <w:t xml:space="preserve">import matplotlib.pyplot as plt</w:t>
      </w:r>
    </w:p>
    <w:p>
      <w:pPr>
        <w:pBdr>
          <w:left w:val="thick" w:color="000000" w:sz="12"/>
          <w:right w:val="single" w:color="CCCCCC" w:sz="2"/>
        </w:pBdr>
        <w:shd w:fill="F2F2F2" w:val="clear"/>
        <w:spacing w:after="40"/>
        <w:ind w:left="320"/>
      </w:pPr>
      <w:r>
        <w:rPr>
          <w:rFonts w:ascii="Courier New" w:cs="Courier New" w:eastAsia="Courier New" w:hAnsi="Courier New"/>
          <w:color w:val="000000"/>
          <w:sz w:val="17"/>
          <w:szCs w:val="17"/>
        </w:rPr>
        <w:t xml:space="preserve">import seaborn as sns</w:t>
      </w:r>
    </w:p>
    <w:p>
      <w:pPr>
        <w:pBdr>
          <w:bottom w:val="single" w:color="CCCCCC" w:sz="2"/>
          <w:left w:val="thick" w:color="000000" w:sz="12"/>
          <w:right w:val="single" w:color="CCCCCC" w:sz="2"/>
        </w:pBdr>
        <w:shd w:fill="F2F2F2" w:val="clear"/>
        <w:spacing w:after="200"/>
        <w:ind w:left="320"/>
      </w:pPr>
      <w:r>
        <w:rPr>
          <w:rFonts w:ascii="Courier New" w:cs="Courier New" w:eastAsia="Courier New" w:hAnsi="Courier New"/>
          <w:color w:val="000000"/>
          <w:sz w:val="17"/>
          <w:szCs w:val="17"/>
        </w:rPr>
        <w:t xml:space="preserve">df = pd.read_csv('Diwali Sales Data.csv', encoding='unicode_escape')</w:t>
      </w:r>
    </w:p>
    <w:p>
      <w:pPr>
        <w:pStyle w:val="Heading2"/>
        <w:spacing w:after="140" w:before="300"/>
      </w:pPr>
      <w:r>
        <w:rPr>
          <w:rFonts w:ascii="Arial" w:cs="Arial" w:eastAsia="Arial" w:hAnsi="Arial"/>
          <w:b/>
          <w:bCs/>
          <w:color w:val="222222"/>
          <w:sz w:val="26"/>
          <w:szCs w:val="26"/>
        </w:rPr>
        <w:t xml:space="preserve">17.2 Glossary of Terms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Term</w:t>
            </w:r>
          </w:p>
        </w:tc>
        <w:tc>
          <w:tcPr>
            <w:tcW w:type="dxa" w:w="80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EDA</w:t>
            </w:r>
          </w:p>
        </w:tc>
        <w:tc>
          <w:tcPr>
            <w:tcW w:type="dxa" w:w="8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Exploratory Data Analysis — summarizing data to discover patterns and anomalies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SKU</w:t>
            </w:r>
          </w:p>
        </w:tc>
        <w:tc>
          <w:tcPr>
            <w:tcW w:type="dxa" w:w="8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Stock Keeping Unit — a unique identifier for each distinct product in inventory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AOV</w:t>
            </w:r>
          </w:p>
        </w:tc>
        <w:tc>
          <w:tcPr>
            <w:tcW w:type="dxa" w:w="8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Average Order Value — total revenue divided by the number of orders placed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CLV</w:t>
            </w:r>
          </w:p>
        </w:tc>
        <w:tc>
          <w:tcPr>
            <w:tcW w:type="dxa" w:w="8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Customer Lifetime Value — predicted net profit from entire customer relationship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FMCG</w:t>
            </w:r>
          </w:p>
        </w:tc>
        <w:tc>
          <w:tcPr>
            <w:tcW w:type="dxa" w:w="8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Fast Moving Consumer Goods — products with rapid turnover and relatively low cost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Pandas</w:t>
            </w:r>
          </w:p>
        </w:tc>
        <w:tc>
          <w:tcPr>
            <w:tcW w:type="dxa" w:w="8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Python library providing fast, expressive data manipulation and analysis tools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Seaborn</w:t>
            </w:r>
          </w:p>
        </w:tc>
        <w:tc>
          <w:tcPr>
            <w:tcW w:type="dxa" w:w="8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Python statistical visualization library built on top of Matplotlib</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countplot</w:t>
            </w:r>
          </w:p>
        </w:tc>
        <w:tc>
          <w:tcPr>
            <w:tcW w:type="dxa" w:w="8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Seaborn function counting category occurrences and displaying as a bar chart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barplot</w:t>
            </w:r>
          </w:p>
        </w:tc>
        <w:tc>
          <w:tcPr>
            <w:tcW w:type="dxa" w:w="8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Seaborn function showing relationship between categorical and numeric variable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groupby</w:t>
            </w:r>
          </w:p>
        </w:tc>
        <w:tc>
          <w:tcPr>
            <w:tcW w:type="dxa" w:w="8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Pandas method splitting data into groups based on column values for aggregation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dropna</w:t>
            </w:r>
          </w:p>
        </w:tc>
        <w:tc>
          <w:tcPr>
            <w:tcW w:type="dxa" w:w="8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Pandas method removing rows containing one or more missing (NaN) values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astype</w:t>
            </w:r>
          </w:p>
        </w:tc>
        <w:tc>
          <w:tcPr>
            <w:tcW w:type="dxa" w:w="80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Pandas method converting the data type of a DataFrame column to a specified type</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17.3 Team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840"/>
      </w:tblGrid>
      <w:tr>
        <w:trPr>
          <w:tblHeader/>
        </w:trPr>
        <w:tc>
          <w:tcPr>
            <w:tcW w:type="dxa" w:w="26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Student Name</w:t>
            </w:r>
          </w:p>
        </w:tc>
        <w:tc>
          <w:tcPr>
            <w:tcW w:type="dxa" w:w="240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Admission Number</w:t>
            </w:r>
          </w:p>
        </w:tc>
        <w:tc>
          <w:tcPr>
            <w:tcW w:type="dxa" w:w="4840"/>
            <w:tcBorders>
              <w:top w:val="single" w:color="000000" w:sz="4"/>
              <w:left w:val="single" w:color="CCCCCC" w:sz="1"/>
              <w:bottom w:val="single" w:color="000000" w:sz="4"/>
              <w:right w:val="single" w:color="CCCCCC" w:sz="1"/>
            </w:tcBorders>
            <w:shd w:fill="333333"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Adarsh Kumar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23SCSE1011351</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Data Analysis &amp; Report Lead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Animesh Bhardwaj</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23SCSE1011119</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Visualization &amp; EDA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Karnjeet Kumar Singh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23SCSE1011110</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Data Cleaning &amp; Preprocessing</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color w:val="222222"/>
                <w:sz w:val="19"/>
                <w:szCs w:val="19"/>
              </w:rPr>
              <w:t xml:space="preserve">Anmol Ranjan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23SCSE1011337</w:t>
            </w:r>
          </w:p>
        </w:tc>
        <w:tc>
          <w:tcPr>
            <w:tcW w:type="dxa" w:w="48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color w:val="222222"/>
                <w:sz w:val="19"/>
                <w:szCs w:val="19"/>
              </w:rPr>
              <w:t xml:space="preserve">Research &amp; Insights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222222"/>
                <w:sz w:val="19"/>
                <w:szCs w:val="19"/>
              </w:rPr>
              <w:t xml:space="preserve">Tamir Ansari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23SCSE1011473</w:t>
            </w:r>
          </w:p>
        </w:tc>
        <w:tc>
          <w:tcPr>
            <w:tcW w:type="dxa" w:w="4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222222"/>
                <w:sz w:val="19"/>
                <w:szCs w:val="19"/>
              </w:rPr>
              <w:t xml:space="preserve">Documentation &amp; Presentation</w:t>
            </w:r>
          </w:p>
        </w:tc>
      </w:tr>
    </w:tbl>
    <w:p>
      <w:pPr>
        <w:spacing w:after="160"/>
      </w:pPr>
      <w:r>
        <w:t xml:space="preserve"/>
      </w:r>
    </w:p>
    <w:p>
      <w:pPr>
        <w:pStyle w:val="Heading2"/>
        <w:spacing w:after="140" w:before="300"/>
      </w:pPr>
      <w:r>
        <w:rPr>
          <w:rFonts w:ascii="Arial" w:cs="Arial" w:eastAsia="Arial" w:hAnsi="Arial"/>
          <w:b/>
          <w:bCs/>
          <w:color w:val="222222"/>
          <w:sz w:val="26"/>
          <w:szCs w:val="26"/>
        </w:rPr>
        <w:t xml:space="preserve">17.4 Data Source &amp; References</w:t>
      </w:r>
    </w:p>
    <w:p>
      <w:pPr>
        <w:spacing w:after="140" w:line="340"/>
        <w:jc w:val="both"/>
      </w:pPr>
      <w:r>
        <w:rPr>
          <w:rFonts w:ascii="Arial" w:cs="Arial" w:eastAsia="Arial" w:hAnsi="Arial"/>
          <w:color w:val="222222"/>
          <w:sz w:val="21"/>
          <w:szCs w:val="21"/>
        </w:rPr>
        <w:t xml:space="preserve">Dataset: Diwali Sales Data.csv</w:t>
      </w:r>
    </w:p>
    <w:p>
      <w:pPr>
        <w:spacing w:after="140" w:line="340"/>
        <w:jc w:val="both"/>
      </w:pPr>
      <w:r>
        <w:rPr>
          <w:rFonts w:ascii="Arial" w:cs="Arial" w:eastAsia="Arial" w:hAnsi="Arial"/>
          <w:color w:val="222222"/>
          <w:sz w:val="21"/>
          <w:szCs w:val="21"/>
        </w:rPr>
        <w:t xml:space="preserve">Analysis Environment: Python 3.x — Jupyter Notebook</w:t>
      </w:r>
    </w:p>
    <w:p>
      <w:pPr>
        <w:spacing w:after="140" w:line="340"/>
        <w:jc w:val="both"/>
      </w:pPr>
      <w:r>
        <w:rPr>
          <w:rFonts w:ascii="Arial" w:cs="Arial" w:eastAsia="Arial" w:hAnsi="Arial"/>
          <w:color w:val="222222"/>
          <w:sz w:val="21"/>
          <w:szCs w:val="21"/>
        </w:rPr>
        <w:t xml:space="preserve">Libraries: Pandas, NumPy, Matplotlib, Seaborn</w:t>
      </w:r>
    </w:p>
    <w:p>
      <w:pPr>
        <w:spacing w:after="140" w:line="340"/>
        <w:jc w:val="both"/>
      </w:pPr>
      <w:r>
        <w:rPr>
          <w:rFonts w:ascii="Arial" w:cs="Arial" w:eastAsia="Arial" w:hAnsi="Arial"/>
          <w:color w:val="222222"/>
          <w:sz w:val="21"/>
          <w:szCs w:val="21"/>
        </w:rPr>
        <w:t xml:space="preserve">Notebook File: Diwali_Sales_Analysis.ipynb</w:t>
      </w:r>
    </w:p>
    <w:p>
      <w:pPr>
        <w:spacing w:after="140" w:line="340"/>
        <w:jc w:val="both"/>
      </w:pPr>
      <w:r>
        <w:rPr>
          <w:rFonts w:ascii="Arial" w:cs="Arial" w:eastAsia="Arial" w:hAnsi="Arial"/>
          <w:color w:val="222222"/>
          <w:sz w:val="21"/>
          <w:szCs w:val="21"/>
        </w:rPr>
        <w:t xml:space="preserve">Reference: github.com/rishabhnmishra/Python_Diwali_Sales_Analysis</w:t>
      </w:r>
    </w:p>
    <w:p>
      <w:pPr>
        <w:spacing w:after="140" w:line="340"/>
        <w:jc w:val="both"/>
      </w:pPr>
      <w:r>
        <w:rPr>
          <w:rFonts w:ascii="Arial" w:cs="Arial" w:eastAsia="Arial" w:hAnsi="Arial"/>
          <w:color w:val="222222"/>
          <w:sz w:val="21"/>
          <w:szCs w:val="21"/>
        </w:rPr>
        <w:t xml:space="preserve">Institution: Galgotias University, Greater Noida, U.P., India</w:t>
      </w:r>
    </w:p>
    <w:p>
      <w:pPr>
        <w:spacing w:after="160"/>
      </w:pPr>
      <w:r>
        <w:t xml:space="preserve"/>
      </w:r>
    </w:p>
    <w:p>
      <w:pPr>
        <w:spacing w:after="160"/>
      </w:pPr>
      <w:r>
        <w:t xml:space="preserve"/>
      </w:r>
    </w:p>
    <w:p>
      <w:pPr>
        <w:pBdr>
          <w:top w:val="double" w:color="000000" w:sz="6" w:space="8"/>
        </w:pBdr>
        <w:spacing w:after="160" w:before="300"/>
        <w:jc w:val="center"/>
      </w:pPr>
      <w:r>
        <w:rPr>
          <w:rFonts w:ascii="Arial" w:cs="Arial" w:eastAsia="Arial" w:hAnsi="Arial"/>
          <w:b/>
          <w:bCs/>
          <w:color w:val="555555"/>
          <w:sz w:val="22"/>
          <w:szCs w:val="22"/>
        </w:rPr>
        <w:t xml:space="preserve">— End of Report —</w:t>
      </w:r>
    </w:p>
    <w:p>
      <w:pPr>
        <w:jc w:val="center"/>
      </w:pPr>
      <w:r>
        <w:rPr>
          <w:rFonts w:ascii="Arial" w:cs="Arial" w:eastAsia="Arial" w:hAnsi="Arial"/>
          <w:color w:val="555555"/>
          <w:sz w:val="17"/>
          <w:szCs w:val="17"/>
        </w:rPr>
        <w:t xml:space="preserve">Customer &amp; Sales Insights | Galgotias University | Dept. of CSE | 2024-25</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6"/>
      </w:pBdr>
      <w:tabs>
        <w:tab w:val="right" w:pos="9840"/>
      </w:tabs>
    </w:pPr>
    <w:r>
      <w:rPr>
        <w:rFonts w:ascii="Arial" w:cs="Arial" w:eastAsia="Arial" w:hAnsi="Arial"/>
        <w:color w:val="555555"/>
        <w:sz w:val="17"/>
        <w:szCs w:val="17"/>
      </w:rPr>
      <w:t xml:space="preserve">Dept. of CSE | SCSE</w:t>
    </w:r>
    <w:r>
      <w:rPr>
        <w:sz w:val="17"/>
        <w:szCs w:val="17"/>
      </w:rPr>
      <w:t xml:space="preserve">	</w:t>
    </w:r>
    <w:r>
      <w:rPr>
        <w:rFonts w:ascii="Arial" w:cs="Arial" w:eastAsia="Arial" w:hAnsi="Arial"/>
        <w:color w:val="555555"/>
        <w:sz w:val="17"/>
        <w:szCs w:val="17"/>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6"/>
      </w:pBdr>
      <w:tabs>
        <w:tab w:val="right" w:pos="9840"/>
      </w:tabs>
    </w:pPr>
    <w:r>
      <w:rPr>
        <w:rFonts w:ascii="Arial" w:cs="Arial" w:eastAsia="Arial" w:hAnsi="Arial"/>
        <w:color w:val="555555"/>
        <w:sz w:val="17"/>
        <w:szCs w:val="17"/>
      </w:rPr>
      <w:t xml:space="preserve">Customer &amp; Sales Insights — Project Report</w:t>
    </w:r>
    <w:r>
      <w:rPr>
        <w:sz w:val="17"/>
        <w:szCs w:val="17"/>
      </w:rPr>
      <w:t xml:space="preserve">	</w:t>
    </w:r>
    <w:r>
      <w:rPr>
        <w:rFonts w:ascii="Arial" w:cs="Arial" w:eastAsia="Arial" w:hAnsi="Arial"/>
        <w:color w:val="555555"/>
        <w:sz w:val="17"/>
        <w:szCs w:val="17"/>
      </w:rPr>
      <w:t xml:space="preserve">Galgotias University |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00000"/>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2222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ea0683043f10301a61e1594523d1729c4828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2026-06-07T16:14:25.059Z</dcterms:created>
  <dcterms:modified xsi:type="dcterms:W3CDTF">2026-06-07T16:14:25.071Z</dcterms:modified>
</cp:coreProperties>
</file>

<file path=docProps/custom.xml><?xml version="1.0" encoding="utf-8"?>
<Properties xmlns="http://schemas.openxmlformats.org/officeDocument/2006/custom-properties" xmlns:vt="http://schemas.openxmlformats.org/officeDocument/2006/docPropsVTypes"/>
</file>