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BEF0" w14:textId="77777777" w:rsidR="00EC1572" w:rsidRPr="00EC1572" w:rsidRDefault="00EC1572" w:rsidP="00EC1572">
      <w:pPr>
        <w:rPr>
          <w:sz w:val="20"/>
          <w:szCs w:val="20"/>
        </w:rPr>
      </w:pPr>
      <w:r w:rsidRPr="00EC1572">
        <w:rPr>
          <w:sz w:val="20"/>
          <w:szCs w:val="20"/>
        </w:rPr>
        <w:t xml:space="preserve">This document outlines the external software licenses and cloud services required to deploy and operate the </w:t>
      </w:r>
      <w:r w:rsidRPr="00EC1572">
        <w:rPr>
          <w:b/>
          <w:bCs/>
          <w:sz w:val="20"/>
          <w:szCs w:val="20"/>
        </w:rPr>
        <w:t>Student Patent Novelty Check</w:t>
      </w:r>
      <w:r w:rsidRPr="00EC1572">
        <w:rPr>
          <w:sz w:val="20"/>
          <w:szCs w:val="20"/>
        </w:rPr>
        <w:t xml:space="preserve"> application. Approval is requested to procure the listed services to ensure system reliability, scalability, and functional completeness.</w:t>
      </w:r>
    </w:p>
    <w:p w14:paraId="7130C976" w14:textId="30E4A300" w:rsidR="00EC1572" w:rsidRPr="00EC1572" w:rsidRDefault="00EC1572" w:rsidP="00EC1572">
      <w:pPr>
        <w:rPr>
          <w:sz w:val="20"/>
          <w:szCs w:val="20"/>
        </w:rPr>
      </w:pPr>
    </w:p>
    <w:p w14:paraId="77ADB09F" w14:textId="77777777" w:rsidR="00EC1572" w:rsidRPr="00EC1572" w:rsidRDefault="00EC1572" w:rsidP="00EC1572">
      <w:pPr>
        <w:rPr>
          <w:b/>
          <w:bCs/>
          <w:sz w:val="20"/>
          <w:szCs w:val="20"/>
        </w:rPr>
      </w:pPr>
      <w:r w:rsidRPr="00EC1572">
        <w:rPr>
          <w:b/>
          <w:bCs/>
          <w:sz w:val="20"/>
          <w:szCs w:val="20"/>
        </w:rPr>
        <w:t>License &amp; Service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1137"/>
        <w:gridCol w:w="2371"/>
        <w:gridCol w:w="1337"/>
        <w:gridCol w:w="2983"/>
      </w:tblGrid>
      <w:tr w:rsidR="00EC1572" w:rsidRPr="00EC1572" w14:paraId="14C1B1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DAE3C" w14:textId="77777777" w:rsidR="00EC1572" w:rsidRPr="00EC1572" w:rsidRDefault="00EC1572" w:rsidP="00EC1572">
            <w:pPr>
              <w:rPr>
                <w:b/>
                <w:bCs/>
                <w:sz w:val="20"/>
                <w:szCs w:val="20"/>
              </w:rPr>
            </w:pPr>
            <w:r w:rsidRPr="00EC1572">
              <w:rPr>
                <w:b/>
                <w:bCs/>
                <w:sz w:val="20"/>
                <w:szCs w:val="20"/>
              </w:rPr>
              <w:t>Tool / Service</w:t>
            </w:r>
          </w:p>
        </w:tc>
        <w:tc>
          <w:tcPr>
            <w:tcW w:w="0" w:type="auto"/>
            <w:vAlign w:val="center"/>
            <w:hideMark/>
          </w:tcPr>
          <w:p w14:paraId="6DF211FB" w14:textId="77777777" w:rsidR="00EC1572" w:rsidRPr="00EC1572" w:rsidRDefault="00EC1572" w:rsidP="00EC1572">
            <w:pPr>
              <w:rPr>
                <w:b/>
                <w:bCs/>
                <w:sz w:val="20"/>
                <w:szCs w:val="20"/>
              </w:rPr>
            </w:pPr>
            <w:r w:rsidRPr="00EC1572">
              <w:rPr>
                <w:b/>
                <w:bCs/>
                <w:sz w:val="20"/>
                <w:szCs w:val="20"/>
              </w:rPr>
              <w:t>License / Plan</w:t>
            </w:r>
          </w:p>
        </w:tc>
        <w:tc>
          <w:tcPr>
            <w:tcW w:w="0" w:type="auto"/>
            <w:vAlign w:val="center"/>
            <w:hideMark/>
          </w:tcPr>
          <w:p w14:paraId="7AA8B062" w14:textId="77777777" w:rsidR="00EC1572" w:rsidRPr="00EC1572" w:rsidRDefault="00EC1572" w:rsidP="00EC1572">
            <w:pPr>
              <w:rPr>
                <w:b/>
                <w:bCs/>
                <w:sz w:val="20"/>
                <w:szCs w:val="20"/>
              </w:rPr>
            </w:pPr>
            <w:r w:rsidRPr="00EC1572">
              <w:rPr>
                <w:b/>
                <w:bCs/>
                <w:sz w:val="20"/>
                <w:szCs w:val="20"/>
              </w:rPr>
              <w:t>Official Link</w:t>
            </w:r>
          </w:p>
        </w:tc>
        <w:tc>
          <w:tcPr>
            <w:tcW w:w="0" w:type="auto"/>
            <w:vAlign w:val="center"/>
            <w:hideMark/>
          </w:tcPr>
          <w:p w14:paraId="34839684" w14:textId="77777777" w:rsidR="00EC1572" w:rsidRPr="00EC1572" w:rsidRDefault="00EC1572" w:rsidP="00EC1572">
            <w:pPr>
              <w:rPr>
                <w:b/>
                <w:bCs/>
                <w:sz w:val="20"/>
                <w:szCs w:val="20"/>
              </w:rPr>
            </w:pPr>
            <w:r w:rsidRPr="00EC1572">
              <w:rPr>
                <w:b/>
                <w:bCs/>
                <w:sz w:val="20"/>
                <w:szCs w:val="20"/>
              </w:rPr>
              <w:t>Estimated Cost</w:t>
            </w:r>
          </w:p>
        </w:tc>
        <w:tc>
          <w:tcPr>
            <w:tcW w:w="0" w:type="auto"/>
            <w:vAlign w:val="center"/>
            <w:hideMark/>
          </w:tcPr>
          <w:p w14:paraId="3732039F" w14:textId="77777777" w:rsidR="00EC1572" w:rsidRPr="00EC1572" w:rsidRDefault="00EC1572" w:rsidP="00EC1572">
            <w:pPr>
              <w:rPr>
                <w:b/>
                <w:bCs/>
                <w:sz w:val="20"/>
                <w:szCs w:val="20"/>
              </w:rPr>
            </w:pPr>
            <w:r w:rsidRPr="00EC1572">
              <w:rPr>
                <w:b/>
                <w:bCs/>
                <w:sz w:val="20"/>
                <w:szCs w:val="20"/>
              </w:rPr>
              <w:t>Purpose / Justification</w:t>
            </w:r>
          </w:p>
        </w:tc>
      </w:tr>
      <w:tr w:rsidR="00EC1572" w:rsidRPr="00EC1572" w14:paraId="709CD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1DB5F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b/>
                <w:bCs/>
                <w:sz w:val="20"/>
                <w:szCs w:val="20"/>
              </w:rPr>
              <w:t>Render</w:t>
            </w:r>
          </w:p>
        </w:tc>
        <w:tc>
          <w:tcPr>
            <w:tcW w:w="0" w:type="auto"/>
            <w:vAlign w:val="center"/>
            <w:hideMark/>
          </w:tcPr>
          <w:p w14:paraId="7339A652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sz w:val="20"/>
                <w:szCs w:val="20"/>
              </w:rPr>
              <w:t>Web Service – Starter or Standard Plan</w:t>
            </w:r>
          </w:p>
        </w:tc>
        <w:tc>
          <w:tcPr>
            <w:tcW w:w="0" w:type="auto"/>
            <w:vAlign w:val="center"/>
            <w:hideMark/>
          </w:tcPr>
          <w:p w14:paraId="05AE9DB1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hyperlink r:id="rId5" w:tgtFrame="_new" w:history="1">
              <w:r w:rsidRPr="00EC1572">
                <w:rPr>
                  <w:rStyle w:val="Hyperlink"/>
                  <w:sz w:val="20"/>
                  <w:szCs w:val="20"/>
                </w:rPr>
                <w:t>https://render.com/pricing</w:t>
              </w:r>
            </w:hyperlink>
          </w:p>
        </w:tc>
        <w:tc>
          <w:tcPr>
            <w:tcW w:w="0" w:type="auto"/>
            <w:vAlign w:val="center"/>
            <w:hideMark/>
          </w:tcPr>
          <w:p w14:paraId="16E43332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sz w:val="20"/>
                <w:szCs w:val="20"/>
              </w:rPr>
              <w:t>Starter: ~$7/month</w:t>
            </w:r>
            <w:r w:rsidRPr="00EC1572">
              <w:rPr>
                <w:sz w:val="20"/>
                <w:szCs w:val="20"/>
              </w:rPr>
              <w:br/>
              <w:t>Standard: ~$25/month</w:t>
            </w:r>
          </w:p>
        </w:tc>
        <w:tc>
          <w:tcPr>
            <w:tcW w:w="0" w:type="auto"/>
            <w:vAlign w:val="center"/>
            <w:hideMark/>
          </w:tcPr>
          <w:p w14:paraId="4B8CB8DD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sz w:val="20"/>
                <w:szCs w:val="20"/>
              </w:rPr>
              <w:t>Required to host the backend API with sufficient memory. Free tier (512 MB RAM) is insufficient for running semantic embedding models and results in runtime crashes.</w:t>
            </w:r>
          </w:p>
        </w:tc>
      </w:tr>
      <w:tr w:rsidR="00EC1572" w:rsidRPr="00EC1572" w14:paraId="70A4F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1D750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b/>
                <w:bCs/>
                <w:sz w:val="20"/>
                <w:szCs w:val="20"/>
              </w:rPr>
              <w:t>Hugging Face Sentence Transformers</w:t>
            </w:r>
          </w:p>
        </w:tc>
        <w:tc>
          <w:tcPr>
            <w:tcW w:w="0" w:type="auto"/>
            <w:vAlign w:val="center"/>
            <w:hideMark/>
          </w:tcPr>
          <w:p w14:paraId="293DE76A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sz w:val="20"/>
                <w:szCs w:val="20"/>
              </w:rPr>
              <w:t>Open Source (Apache 2.0)</w:t>
            </w:r>
          </w:p>
        </w:tc>
        <w:tc>
          <w:tcPr>
            <w:tcW w:w="0" w:type="auto"/>
            <w:vAlign w:val="center"/>
            <w:hideMark/>
          </w:tcPr>
          <w:p w14:paraId="46E38EB2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hyperlink r:id="rId6" w:tgtFrame="_new" w:history="1">
              <w:r w:rsidRPr="00EC1572">
                <w:rPr>
                  <w:rStyle w:val="Hyperlink"/>
                  <w:sz w:val="20"/>
                  <w:szCs w:val="20"/>
                </w:rPr>
                <w:t>https://www.sbert.net</w:t>
              </w:r>
            </w:hyperlink>
          </w:p>
        </w:tc>
        <w:tc>
          <w:tcPr>
            <w:tcW w:w="0" w:type="auto"/>
            <w:vAlign w:val="center"/>
            <w:hideMark/>
          </w:tcPr>
          <w:p w14:paraId="22E61D8E" w14:textId="10AD5E6A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sz w:val="20"/>
                <w:szCs w:val="20"/>
              </w:rPr>
              <w:t>$</w:t>
            </w:r>
            <w:r>
              <w:rPr>
                <w:sz w:val="20"/>
                <w:szCs w:val="20"/>
              </w:rPr>
              <w:t>30/month</w:t>
            </w:r>
          </w:p>
        </w:tc>
        <w:tc>
          <w:tcPr>
            <w:tcW w:w="0" w:type="auto"/>
            <w:vAlign w:val="center"/>
            <w:hideMark/>
          </w:tcPr>
          <w:p w14:paraId="710890B9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sz w:val="20"/>
                <w:szCs w:val="20"/>
              </w:rPr>
              <w:t>Used for semantic similarity scoring between student ideas and patent documents. No license fee; listed here for compliance and documentation.</w:t>
            </w:r>
          </w:p>
        </w:tc>
      </w:tr>
      <w:tr w:rsidR="00EC1572" w:rsidRPr="00EC1572" w14:paraId="11510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FF50A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proofErr w:type="spellStart"/>
            <w:r w:rsidRPr="00EC1572">
              <w:rPr>
                <w:b/>
                <w:bCs/>
                <w:sz w:val="20"/>
                <w:szCs w:val="20"/>
              </w:rPr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8221F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sz w:val="20"/>
                <w:szCs w:val="20"/>
              </w:rPr>
              <w:t>Open Source (BSD-style license)</w:t>
            </w:r>
          </w:p>
        </w:tc>
        <w:tc>
          <w:tcPr>
            <w:tcW w:w="0" w:type="auto"/>
            <w:vAlign w:val="center"/>
            <w:hideMark/>
          </w:tcPr>
          <w:p w14:paraId="2DE206E2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hyperlink r:id="rId7" w:tgtFrame="_new" w:history="1">
              <w:r w:rsidRPr="00EC1572">
                <w:rPr>
                  <w:rStyle w:val="Hyperlink"/>
                  <w:sz w:val="20"/>
                  <w:szCs w:val="20"/>
                </w:rPr>
                <w:t>https://pytorch.org</w:t>
              </w:r>
            </w:hyperlink>
          </w:p>
        </w:tc>
        <w:tc>
          <w:tcPr>
            <w:tcW w:w="0" w:type="auto"/>
            <w:vAlign w:val="center"/>
            <w:hideMark/>
          </w:tcPr>
          <w:p w14:paraId="532EDD40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sz w:val="20"/>
                <w:szCs w:val="20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14:paraId="47EAAF39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sz w:val="20"/>
                <w:szCs w:val="20"/>
              </w:rPr>
              <w:t xml:space="preserve">Required dependency for sentence-transformer models. No paid </w:t>
            </w:r>
            <w:proofErr w:type="gramStart"/>
            <w:r w:rsidRPr="00EC1572">
              <w:rPr>
                <w:sz w:val="20"/>
                <w:szCs w:val="20"/>
              </w:rPr>
              <w:t>license, but</w:t>
            </w:r>
            <w:proofErr w:type="gramEnd"/>
            <w:r w:rsidRPr="00EC1572">
              <w:rPr>
                <w:sz w:val="20"/>
                <w:szCs w:val="20"/>
              </w:rPr>
              <w:t xml:space="preserve"> contributes to higher memory usage on the backend.</w:t>
            </w:r>
          </w:p>
        </w:tc>
      </w:tr>
      <w:tr w:rsidR="00EC1572" w:rsidRPr="00EC1572" w14:paraId="34449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BB75B" w14:textId="6CF74525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b/>
                <w:bCs/>
                <w:sz w:val="20"/>
                <w:szCs w:val="20"/>
              </w:rPr>
              <w:t>OpenAI Embeddings API</w:t>
            </w:r>
          </w:p>
        </w:tc>
        <w:tc>
          <w:tcPr>
            <w:tcW w:w="0" w:type="auto"/>
            <w:vAlign w:val="center"/>
            <w:hideMark/>
          </w:tcPr>
          <w:p w14:paraId="58F5EC48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sz w:val="20"/>
                <w:szCs w:val="20"/>
              </w:rPr>
              <w:t>Pay-as-you-go API</w:t>
            </w:r>
          </w:p>
        </w:tc>
        <w:tc>
          <w:tcPr>
            <w:tcW w:w="0" w:type="auto"/>
            <w:vAlign w:val="center"/>
            <w:hideMark/>
          </w:tcPr>
          <w:p w14:paraId="6D767845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hyperlink r:id="rId8" w:tgtFrame="_new" w:history="1">
              <w:r w:rsidRPr="00EC1572">
                <w:rPr>
                  <w:rStyle w:val="Hyperlink"/>
                  <w:sz w:val="20"/>
                  <w:szCs w:val="20"/>
                </w:rPr>
                <w:t>https://openai.com/pricing</w:t>
              </w:r>
            </w:hyperlink>
          </w:p>
        </w:tc>
        <w:tc>
          <w:tcPr>
            <w:tcW w:w="0" w:type="auto"/>
            <w:vAlign w:val="center"/>
            <w:hideMark/>
          </w:tcPr>
          <w:p w14:paraId="74F0E167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sz w:val="20"/>
                <w:szCs w:val="20"/>
              </w:rPr>
              <w:t>~$5–$15/month (estimated usage)</w:t>
            </w:r>
          </w:p>
        </w:tc>
        <w:tc>
          <w:tcPr>
            <w:tcW w:w="0" w:type="auto"/>
            <w:vAlign w:val="center"/>
            <w:hideMark/>
          </w:tcPr>
          <w:p w14:paraId="580433D0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sz w:val="20"/>
                <w:szCs w:val="20"/>
              </w:rPr>
              <w:t>Alternative to self-hosted embeddings. Reduces infrastructure cost and complexity by offloading semantic computation to an external API. Considered as a fallback option.</w:t>
            </w:r>
          </w:p>
        </w:tc>
      </w:tr>
    </w:tbl>
    <w:p w14:paraId="46188E17" w14:textId="660BD3E2" w:rsidR="00EC1572" w:rsidRDefault="00EC1572" w:rsidP="00EC1572">
      <w:pPr>
        <w:rPr>
          <w:sz w:val="20"/>
          <w:szCs w:val="20"/>
        </w:rPr>
      </w:pPr>
    </w:p>
    <w:p w14:paraId="39D58AD7" w14:textId="77777777" w:rsidR="00EC1572" w:rsidRDefault="00EC1572" w:rsidP="00EC1572">
      <w:pPr>
        <w:rPr>
          <w:sz w:val="20"/>
          <w:szCs w:val="20"/>
        </w:rPr>
      </w:pPr>
    </w:p>
    <w:p w14:paraId="2D4EC2DE" w14:textId="77777777" w:rsidR="00EC1572" w:rsidRDefault="00EC1572" w:rsidP="00EC1572">
      <w:pPr>
        <w:rPr>
          <w:sz w:val="20"/>
          <w:szCs w:val="20"/>
        </w:rPr>
      </w:pPr>
    </w:p>
    <w:p w14:paraId="4828934F" w14:textId="77777777" w:rsidR="00EC1572" w:rsidRDefault="00EC1572" w:rsidP="00EC1572">
      <w:pPr>
        <w:rPr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1937"/>
        <w:gridCol w:w="1029"/>
        <w:gridCol w:w="1876"/>
        <w:gridCol w:w="2706"/>
      </w:tblGrid>
      <w:tr w:rsidR="00EC1572" w:rsidRPr="00EC1572" w14:paraId="489275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E3606" w14:textId="77777777" w:rsidR="00EC1572" w:rsidRPr="00EC1572" w:rsidRDefault="00EC1572" w:rsidP="00EC1572">
            <w:pPr>
              <w:rPr>
                <w:b/>
                <w:bCs/>
                <w:sz w:val="20"/>
                <w:szCs w:val="20"/>
              </w:rPr>
            </w:pPr>
            <w:r w:rsidRPr="00EC1572">
              <w:rPr>
                <w:b/>
                <w:bCs/>
                <w:sz w:val="20"/>
                <w:szCs w:val="20"/>
              </w:rPr>
              <w:lastRenderedPageBreak/>
              <w:t>Service</w:t>
            </w:r>
          </w:p>
        </w:tc>
        <w:tc>
          <w:tcPr>
            <w:tcW w:w="0" w:type="auto"/>
            <w:vAlign w:val="center"/>
            <w:hideMark/>
          </w:tcPr>
          <w:p w14:paraId="70BB6B0E" w14:textId="77777777" w:rsidR="00EC1572" w:rsidRPr="00EC1572" w:rsidRDefault="00EC1572" w:rsidP="00EC1572">
            <w:pPr>
              <w:rPr>
                <w:b/>
                <w:bCs/>
                <w:sz w:val="20"/>
                <w:szCs w:val="20"/>
              </w:rPr>
            </w:pPr>
            <w:r w:rsidRPr="00EC1572">
              <w:rPr>
                <w:b/>
                <w:bCs/>
                <w:sz w:val="20"/>
                <w:szCs w:val="20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6106E0FC" w14:textId="77777777" w:rsidR="00EC1572" w:rsidRPr="00EC1572" w:rsidRDefault="00EC1572" w:rsidP="00EC1572">
            <w:pPr>
              <w:rPr>
                <w:b/>
                <w:bCs/>
                <w:sz w:val="20"/>
                <w:szCs w:val="20"/>
              </w:rPr>
            </w:pPr>
            <w:r w:rsidRPr="00EC1572">
              <w:rPr>
                <w:b/>
                <w:bCs/>
                <w:sz w:val="20"/>
                <w:szCs w:val="20"/>
              </w:rPr>
              <w:t>API Access</w:t>
            </w:r>
          </w:p>
        </w:tc>
        <w:tc>
          <w:tcPr>
            <w:tcW w:w="0" w:type="auto"/>
            <w:vAlign w:val="center"/>
            <w:hideMark/>
          </w:tcPr>
          <w:p w14:paraId="5FF208C6" w14:textId="77777777" w:rsidR="00EC1572" w:rsidRPr="00EC1572" w:rsidRDefault="00EC1572" w:rsidP="00EC1572">
            <w:pPr>
              <w:rPr>
                <w:b/>
                <w:bCs/>
                <w:sz w:val="20"/>
                <w:szCs w:val="20"/>
              </w:rPr>
            </w:pPr>
            <w:r w:rsidRPr="00EC1572">
              <w:rPr>
                <w:b/>
                <w:bCs/>
                <w:sz w:val="20"/>
                <w:szCs w:val="20"/>
              </w:rPr>
              <w:t>Estimated Cost</w:t>
            </w:r>
          </w:p>
        </w:tc>
        <w:tc>
          <w:tcPr>
            <w:tcW w:w="0" w:type="auto"/>
            <w:vAlign w:val="center"/>
            <w:hideMark/>
          </w:tcPr>
          <w:p w14:paraId="63477CFA" w14:textId="77777777" w:rsidR="00EC1572" w:rsidRPr="00EC1572" w:rsidRDefault="00EC1572" w:rsidP="00EC1572">
            <w:pPr>
              <w:rPr>
                <w:b/>
                <w:bCs/>
                <w:sz w:val="20"/>
                <w:szCs w:val="20"/>
              </w:rPr>
            </w:pPr>
            <w:r w:rsidRPr="00EC1572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EC1572" w:rsidRPr="00EC1572" w14:paraId="7E9A1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5255B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b/>
                <w:bCs/>
                <w:sz w:val="20"/>
                <w:szCs w:val="20"/>
              </w:rPr>
              <w:t>Lens.org (Pro / non-enterprise)</w:t>
            </w:r>
          </w:p>
        </w:tc>
        <w:tc>
          <w:tcPr>
            <w:tcW w:w="0" w:type="auto"/>
            <w:vAlign w:val="center"/>
            <w:hideMark/>
          </w:tcPr>
          <w:p w14:paraId="6736E19B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sz w:val="20"/>
                <w:szCs w:val="20"/>
              </w:rPr>
              <w:t>USPTO + EPO + WIPO + other jurisdictions</w:t>
            </w:r>
          </w:p>
        </w:tc>
        <w:tc>
          <w:tcPr>
            <w:tcW w:w="0" w:type="auto"/>
            <w:vAlign w:val="center"/>
            <w:hideMark/>
          </w:tcPr>
          <w:p w14:paraId="3F79F770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164E64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sz w:val="20"/>
                <w:szCs w:val="20"/>
              </w:rPr>
              <w:t>~$0–$500/year (academic / startup pricing)</w:t>
            </w:r>
          </w:p>
        </w:tc>
        <w:tc>
          <w:tcPr>
            <w:tcW w:w="0" w:type="auto"/>
            <w:vAlign w:val="center"/>
            <w:hideMark/>
          </w:tcPr>
          <w:p w14:paraId="03CA2FD8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sz w:val="20"/>
                <w:szCs w:val="20"/>
              </w:rPr>
              <w:t>More affordable than enterprise; pro tier gives API limits you can use.</w:t>
            </w:r>
          </w:p>
        </w:tc>
      </w:tr>
      <w:tr w:rsidR="00EC1572" w:rsidRPr="00EC1572" w14:paraId="743AE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C3E46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proofErr w:type="spellStart"/>
            <w:r w:rsidRPr="00EC1572">
              <w:rPr>
                <w:b/>
                <w:bCs/>
                <w:sz w:val="20"/>
                <w:szCs w:val="20"/>
              </w:rPr>
              <w:t>PatentsView</w:t>
            </w:r>
            <w:proofErr w:type="spellEnd"/>
            <w:r w:rsidRPr="00EC1572">
              <w:rPr>
                <w:b/>
                <w:bCs/>
                <w:sz w:val="20"/>
                <w:szCs w:val="20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68AE0A86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sz w:val="20"/>
                <w:szCs w:val="20"/>
              </w:rPr>
              <w:t>USPTO only (US patents)</w:t>
            </w:r>
          </w:p>
        </w:tc>
        <w:tc>
          <w:tcPr>
            <w:tcW w:w="0" w:type="auto"/>
            <w:vAlign w:val="center"/>
            <w:hideMark/>
          </w:tcPr>
          <w:p w14:paraId="77D6A3B3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sz w:val="20"/>
                <w:szCs w:val="20"/>
              </w:rPr>
              <w:t>Yes (free)</w:t>
            </w:r>
          </w:p>
        </w:tc>
        <w:tc>
          <w:tcPr>
            <w:tcW w:w="0" w:type="auto"/>
            <w:vAlign w:val="center"/>
            <w:hideMark/>
          </w:tcPr>
          <w:p w14:paraId="0052EEE3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sz w:val="20"/>
                <w:szCs w:val="20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14:paraId="08A31A77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sz w:val="20"/>
                <w:szCs w:val="20"/>
              </w:rPr>
              <w:t xml:space="preserve">Good for US only, not global. Works well for </w:t>
            </w:r>
            <w:proofErr w:type="gramStart"/>
            <w:r w:rsidRPr="00EC1572">
              <w:rPr>
                <w:sz w:val="20"/>
                <w:szCs w:val="20"/>
              </w:rPr>
              <w:t>student</w:t>
            </w:r>
            <w:proofErr w:type="gramEnd"/>
            <w:r w:rsidRPr="00EC1572">
              <w:rPr>
                <w:sz w:val="20"/>
                <w:szCs w:val="20"/>
              </w:rPr>
              <w:t xml:space="preserve"> use.</w:t>
            </w:r>
          </w:p>
        </w:tc>
      </w:tr>
      <w:tr w:rsidR="00EC1572" w:rsidRPr="00EC1572" w14:paraId="318A2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B2403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b/>
                <w:bCs/>
                <w:sz w:val="20"/>
                <w:szCs w:val="20"/>
              </w:rPr>
              <w:t xml:space="preserve">Google </w:t>
            </w:r>
            <w:proofErr w:type="spellStart"/>
            <w:r w:rsidRPr="00EC1572">
              <w:rPr>
                <w:b/>
                <w:bCs/>
                <w:sz w:val="20"/>
                <w:szCs w:val="20"/>
              </w:rPr>
              <w:t>BigQuery</w:t>
            </w:r>
            <w:proofErr w:type="spellEnd"/>
            <w:r w:rsidRPr="00EC1572">
              <w:rPr>
                <w:b/>
                <w:bCs/>
                <w:sz w:val="20"/>
                <w:szCs w:val="20"/>
              </w:rPr>
              <w:t xml:space="preserve"> Patent Datasets</w:t>
            </w:r>
          </w:p>
        </w:tc>
        <w:tc>
          <w:tcPr>
            <w:tcW w:w="0" w:type="auto"/>
            <w:vAlign w:val="center"/>
            <w:hideMark/>
          </w:tcPr>
          <w:p w14:paraId="57B15BC2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sz w:val="20"/>
                <w:szCs w:val="20"/>
              </w:rPr>
              <w:t>USPTO</w:t>
            </w:r>
          </w:p>
        </w:tc>
        <w:tc>
          <w:tcPr>
            <w:tcW w:w="0" w:type="auto"/>
            <w:vAlign w:val="center"/>
            <w:hideMark/>
          </w:tcPr>
          <w:p w14:paraId="4A1A050E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sz w:val="20"/>
                <w:szCs w:val="20"/>
              </w:rPr>
              <w:t>Yes (BQ SQL)</w:t>
            </w:r>
          </w:p>
        </w:tc>
        <w:tc>
          <w:tcPr>
            <w:tcW w:w="0" w:type="auto"/>
            <w:vAlign w:val="center"/>
            <w:hideMark/>
          </w:tcPr>
          <w:p w14:paraId="6340D349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sz w:val="20"/>
                <w:szCs w:val="20"/>
              </w:rPr>
              <w:t>Pay-per-query (negligible for light use)</w:t>
            </w:r>
          </w:p>
        </w:tc>
        <w:tc>
          <w:tcPr>
            <w:tcW w:w="0" w:type="auto"/>
            <w:vAlign w:val="center"/>
            <w:hideMark/>
          </w:tcPr>
          <w:p w14:paraId="48F67242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sz w:val="20"/>
                <w:szCs w:val="20"/>
              </w:rPr>
              <w:t>Uses Google Cloud billing (~$0.02/GB); excellent for prototyping.</w:t>
            </w:r>
          </w:p>
        </w:tc>
      </w:tr>
      <w:tr w:rsidR="00EC1572" w:rsidRPr="00EC1572" w14:paraId="51DEF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570CC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proofErr w:type="spellStart"/>
            <w:r w:rsidRPr="00EC1572">
              <w:rPr>
                <w:b/>
                <w:bCs/>
                <w:sz w:val="20"/>
                <w:szCs w:val="20"/>
              </w:rPr>
              <w:t>PatentPDF</w:t>
            </w:r>
            <w:proofErr w:type="spellEnd"/>
            <w:r w:rsidRPr="00EC1572">
              <w:rPr>
                <w:b/>
                <w:bCs/>
                <w:sz w:val="20"/>
                <w:szCs w:val="20"/>
              </w:rPr>
              <w:t xml:space="preserve"> providers (paid tiers)</w:t>
            </w:r>
          </w:p>
        </w:tc>
        <w:tc>
          <w:tcPr>
            <w:tcW w:w="0" w:type="auto"/>
            <w:vAlign w:val="center"/>
            <w:hideMark/>
          </w:tcPr>
          <w:p w14:paraId="31F514D5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sz w:val="20"/>
                <w:szCs w:val="20"/>
              </w:rPr>
              <w:t>Global via document sources</w:t>
            </w:r>
          </w:p>
        </w:tc>
        <w:tc>
          <w:tcPr>
            <w:tcW w:w="0" w:type="auto"/>
            <w:vAlign w:val="center"/>
            <w:hideMark/>
          </w:tcPr>
          <w:p w14:paraId="222CF73D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159A0E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sz w:val="20"/>
                <w:szCs w:val="20"/>
              </w:rPr>
              <w:t>~$200–$800/year</w:t>
            </w:r>
          </w:p>
        </w:tc>
        <w:tc>
          <w:tcPr>
            <w:tcW w:w="0" w:type="auto"/>
            <w:vAlign w:val="center"/>
            <w:hideMark/>
          </w:tcPr>
          <w:p w14:paraId="01C3DC16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sz w:val="20"/>
                <w:szCs w:val="20"/>
              </w:rPr>
              <w:t>Some providers offer lower tiers for bulk access via API.</w:t>
            </w:r>
          </w:p>
        </w:tc>
      </w:tr>
      <w:tr w:rsidR="00EC1572" w:rsidRPr="00EC1572" w14:paraId="3B1BF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474DB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b/>
                <w:bCs/>
                <w:sz w:val="20"/>
                <w:szCs w:val="20"/>
              </w:rPr>
              <w:t>Free Bulk + local index</w:t>
            </w:r>
          </w:p>
        </w:tc>
        <w:tc>
          <w:tcPr>
            <w:tcW w:w="0" w:type="auto"/>
            <w:vAlign w:val="center"/>
            <w:hideMark/>
          </w:tcPr>
          <w:p w14:paraId="3003FB4F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sz w:val="20"/>
                <w:szCs w:val="20"/>
              </w:rPr>
              <w:t>USPTO / EPO free bulk downloads</w:t>
            </w:r>
          </w:p>
        </w:tc>
        <w:tc>
          <w:tcPr>
            <w:tcW w:w="0" w:type="auto"/>
            <w:vAlign w:val="center"/>
            <w:hideMark/>
          </w:tcPr>
          <w:p w14:paraId="23CCC205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sz w:val="20"/>
                <w:szCs w:val="20"/>
              </w:rPr>
              <w:t>Self-hosted search</w:t>
            </w:r>
          </w:p>
        </w:tc>
        <w:tc>
          <w:tcPr>
            <w:tcW w:w="0" w:type="auto"/>
            <w:vAlign w:val="center"/>
            <w:hideMark/>
          </w:tcPr>
          <w:p w14:paraId="013BF5C3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sz w:val="20"/>
                <w:szCs w:val="20"/>
              </w:rPr>
              <w:t>Hosting cost only</w:t>
            </w:r>
          </w:p>
        </w:tc>
        <w:tc>
          <w:tcPr>
            <w:tcW w:w="0" w:type="auto"/>
            <w:vAlign w:val="center"/>
            <w:hideMark/>
          </w:tcPr>
          <w:p w14:paraId="744FF94D" w14:textId="77777777" w:rsidR="00EC1572" w:rsidRPr="00EC1572" w:rsidRDefault="00EC1572" w:rsidP="00EC1572">
            <w:pPr>
              <w:rPr>
                <w:sz w:val="20"/>
                <w:szCs w:val="20"/>
              </w:rPr>
            </w:pPr>
            <w:r w:rsidRPr="00EC1572">
              <w:rPr>
                <w:sz w:val="20"/>
                <w:szCs w:val="20"/>
              </w:rPr>
              <w:t>Requires engineering effort; effectively zero license cost.</w:t>
            </w:r>
          </w:p>
        </w:tc>
      </w:tr>
    </w:tbl>
    <w:p w14:paraId="359624DB" w14:textId="77777777" w:rsidR="00EC1572" w:rsidRPr="00EC1572" w:rsidRDefault="00EC1572" w:rsidP="00EC1572">
      <w:pPr>
        <w:rPr>
          <w:sz w:val="20"/>
          <w:szCs w:val="20"/>
        </w:rPr>
      </w:pPr>
    </w:p>
    <w:p w14:paraId="11E56711" w14:textId="77777777" w:rsidR="00136E3A" w:rsidRPr="00EC1572" w:rsidRDefault="00136E3A">
      <w:pPr>
        <w:rPr>
          <w:sz w:val="20"/>
          <w:szCs w:val="20"/>
        </w:rPr>
      </w:pPr>
    </w:p>
    <w:sectPr w:rsidR="00136E3A" w:rsidRPr="00EC1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0051D"/>
    <w:multiLevelType w:val="multilevel"/>
    <w:tmpl w:val="CA7A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748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572"/>
    <w:rsid w:val="00136E3A"/>
    <w:rsid w:val="001A3CA4"/>
    <w:rsid w:val="00887F5A"/>
    <w:rsid w:val="00E90A08"/>
    <w:rsid w:val="00EC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F4293"/>
  <w15:chartTrackingRefBased/>
  <w15:docId w15:val="{2261C4D9-10E3-4222-B54D-EF1A38C78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5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15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15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ai.com/pric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ytorch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bert.net" TargetMode="External"/><Relationship Id="rId5" Type="http://schemas.openxmlformats.org/officeDocument/2006/relationships/hyperlink" Target="https://render.com/pric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Sathyanarayanan</dc:creator>
  <cp:keywords/>
  <dc:description/>
  <cp:lastModifiedBy>Adarsh Sathyanarayanan</cp:lastModifiedBy>
  <cp:revision>1</cp:revision>
  <dcterms:created xsi:type="dcterms:W3CDTF">2026-02-08T14:28:00Z</dcterms:created>
  <dcterms:modified xsi:type="dcterms:W3CDTF">2026-02-08T14:35:00Z</dcterms:modified>
</cp:coreProperties>
</file>