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172A"/>
          <w:sz w:val="40"/>
        </w:rPr>
        <w:t>Towards AI-Driven Personality Assessment: Trait Modelling and Occupational Fit Prediction for Defence and Corporate Domains</w:t>
      </w:r>
    </w:p>
    <w:p>
      <w:pPr>
        <w:spacing w:after="320"/>
        <w:jc w:val="center"/>
      </w:pPr>
      <w:r>
        <w:rPr>
          <w:b/>
          <w:color w:val="1E3A8A"/>
          <w:sz w:val="28"/>
        </w:rPr>
        <w:t>Adarsh Prakash Singh</w:t>
      </w:r>
      <w:r>
        <w:rPr>
          <w:b/>
          <w:color w:val="1E3A8A"/>
          <w:sz w:val="28"/>
          <w:vertAlign w:val="superscript"/>
        </w:rPr>
        <w:t>¹</w:t>
      </w:r>
      <w:r>
        <w:rPr>
          <w:b/>
          <w:sz w:val="28"/>
        </w:rPr>
        <w:t xml:space="preserve">, </w:t>
      </w:r>
      <w:r>
        <w:rPr>
          <w:b/>
          <w:color w:val="1E3A8A"/>
          <w:sz w:val="28"/>
        </w:rPr>
        <w:t>Gaurav Singh</w:t>
      </w:r>
      <w:r>
        <w:rPr>
          <w:b/>
          <w:color w:val="1E3A8A"/>
          <w:sz w:val="28"/>
          <w:vertAlign w:val="superscript"/>
        </w:rPr>
        <w:t>²</w:t>
      </w:r>
      <w:r>
        <w:rPr>
          <w:b/>
          <w:sz w:val="28"/>
        </w:rPr>
        <w:t xml:space="preserve">, </w:t>
      </w:r>
      <w:r>
        <w:rPr>
          <w:b/>
          <w:color w:val="1E3A8A"/>
          <w:sz w:val="28"/>
        </w:rPr>
        <w:t>Jobanjot Singh Vohra</w:t>
      </w:r>
      <w:r>
        <w:rPr>
          <w:b/>
          <w:color w:val="1E3A8A"/>
          <w:sz w:val="28"/>
          <w:vertAlign w:val="superscript"/>
        </w:rPr>
        <w:t>³</w:t>
      </w:r>
      <w:r>
        <w:rPr>
          <w:b/>
          <w:sz w:val="28"/>
        </w:rPr>
        <w:t xml:space="preserve">, </w:t>
      </w:r>
      <w:r>
        <w:rPr>
          <w:b/>
          <w:color w:val="1E3A8A"/>
          <w:sz w:val="28"/>
        </w:rPr>
        <w:t>Divyanshu Chaubey</w:t>
      </w:r>
      <w:r>
        <w:rPr>
          <w:b/>
          <w:color w:val="1E3A8A"/>
          <w:sz w:val="28"/>
          <w:vertAlign w:val="superscript"/>
        </w:rPr>
        <w:t>⁴</w:t>
        <w:br/>
      </w:r>
      <w:r>
        <w:rPr>
          <w:rFonts w:ascii="Times New Roman" w:hAnsi="Times New Roman"/>
          <w:i/>
          <w:color w:val="64748B"/>
          <w:sz w:val="24"/>
        </w:rPr>
        <w:t>Department of Computer Science &amp; Engineering</w:t>
        <w:br/>
        <w:t>ABES Engineering College, Ghaziabad, India</w:t>
        <w:br/>
      </w:r>
      <w:r>
        <w:rPr>
          <w:rFonts w:ascii="Times New Roman" w:hAnsi="Times New Roman"/>
          <w:color w:val="64748B"/>
          <w:sz w:val="22"/>
        </w:rPr>
        <w:t>Emails: hawkadarsh2908@gmail.com, gauravsunil2005@gmail.com, vohrajoban5@gmail.com, divyanshuchaubey23@gmail.com</w:t>
        <w:br/>
      </w:r>
      <w:r>
        <w:rPr>
          <w:rFonts w:ascii="Times New Roman" w:hAnsi="Times New Roman"/>
          <w:color w:val="64748B"/>
          <w:sz w:val="22"/>
        </w:rPr>
        <w:t>Project Repository: https://github.com/adarsh3908/Mapan</w:t>
      </w:r>
    </w:p>
    <w:p>
      <w:pPr>
        <w:spacing w:after="280"/>
        <w:pBdr>
          <w:bottom w:val="single" w:sz="14" w:space="1" w:color="1E3A8A"/>
        </w:pBdr>
      </w:pPr>
    </w:p>
    <w:tbl>
      <w:tblPr>
        <w:tblW w:type="auto" w:w="0"/>
        <w:jc w:val="center"/>
        <w:tblLook w:firstColumn="1" w:firstRow="1" w:lastColumn="0" w:lastRow="0" w:noHBand="0" w:noVBand="1" w:val="04A0"/>
      </w:tblPr>
      <w:tblGrid>
        <w:gridCol w:w="10080"/>
      </w:tblGrid>
      <w:tr>
        <w:tc>
          <w:tcPr>
            <w:tcW w:type="dxa" w:w="10080"/>
            <w:shd w:fill="F1F5F9"/>
            <w:tcMar>
              <w:top w:w="160" w:type="dxa"/>
              <w:bottom w:w="160" w:type="dxa"/>
              <w:left w:w="220" w:type="dxa"/>
              <w:right w:w="220" w:type="dxa"/>
            </w:tcMar>
          </w:tcPr>
          <w:p>
            <w:pPr>
              <w:spacing w:after="120" w:line="276" w:lineRule="auto"/>
              <w:jc w:val="both"/>
            </w:pPr>
            <w:r>
              <w:rPr>
                <w:b/>
                <w:color w:val="1E3A8A"/>
                <w:sz w:val="23"/>
              </w:rPr>
              <w:t xml:space="preserve">Abstract— </w:t>
            </w:r>
            <w:r>
              <w:rPr>
                <w:sz w:val="23"/>
              </w:rPr>
              <w:t>Conventional self-report personality inventories (e.g., Big Five Likert instruments) suffer from well-documented vulnerabilities to socially desirable responding and impression management in high-stakes occupational selection. This paper introduces Project Mapan (PsychoNet Node A), a novel AI-driven decision-support framework that fuses meta-analytically validated faking-resistance mechanisms—specifically forced-choice/quasi-ipsative item scoring and response-latency tracking—with Natural Language Processing (NLP) sentence embeddings and Classical Test Theory (CTT) / Item Response Theory (IRT) psychometric models. Rather than relying on black-box trait point estimates, Mapan computes occupational fit indices mapped against O*NET trait-requirement profiles with propagated 95% confidence intervals and explicit low-reliability evidence flags. We design and execute a rigorous 7-model ablation study across n = 1,015,342 public psychometric samples, linguistic corpora, and synthetic instructed-fake-good perturbation harnesses (δ = 0.49 – 1.27). Experimental results demonstrate that our hybrid fused model (Model 7) achieves a 78.2% reduction in synthetic faking inflation compared to baseline self-report instruments while reducing trait measurement standard error from 0.18 to 0.035. Furthermore, we present a standalone Fairness Audit Gate module evaluating subgroup demographic parity (Age, Gender, Region) to enforce non-discriminatory occupational fit recommendations.</w:t>
            </w:r>
          </w:p>
          <w:p>
            <w:pPr>
              <w:spacing w:after="0"/>
              <w:jc w:val="both"/>
            </w:pPr>
            <w:r>
              <w:rPr>
                <w:b/>
                <w:color w:val="1E3A8A"/>
                <w:sz w:val="23"/>
              </w:rPr>
              <w:t xml:space="preserve">Index Terms— </w:t>
            </w:r>
            <w:r>
              <w:rPr>
                <w:i/>
                <w:sz w:val="23"/>
              </w:rPr>
              <w:t>Personality Assessment, Situational Judgment Tests (SJT), Item Response Theory (IRT), Natural Language Processing, Occupational Fit, Uncertainty Propagation, Faking Resistance, Fairness Audit Gate, Ablation Study.</w:t>
            </w:r>
          </w:p>
        </w:tc>
      </w:tr>
    </w:tbl>
    <w:p>
      <w:pPr>
        <w:spacing w:after="280"/>
      </w:pPr>
    </w:p>
    <w:p>
      <w:pPr>
        <w:keepNext/>
        <w:spacing w:before="360" w:after="160"/>
      </w:pPr>
      <w:r>
        <w:rPr>
          <w:rFonts w:ascii="Times New Roman" w:hAnsi="Times New Roman"/>
          <w:b/>
          <w:color w:val="1E3A8A"/>
          <w:sz w:val="32"/>
        </w:rPr>
        <w:t>I. INTRODUCTION</w:t>
      </w:r>
    </w:p>
    <w:p>
      <w:pPr>
        <w:spacing w:after="120" w:line="276" w:lineRule="auto"/>
        <w:jc w:val="both"/>
      </w:pPr>
      <w:r>
        <w:rPr>
          <w:rFonts w:ascii="Times New Roman" w:hAnsi="Times New Roman"/>
          <w:color w:val="1E293B"/>
          <w:sz w:val="24"/>
        </w:rPr>
        <w:t xml:space="preserve">Psychometric personality assessment plays a foundational role in human resource selection, organizational placement, and high-stakes operational roles (such as defence candidate evaluation and leadership profiling). Traditional self-report inventories—typically composed of Likert-scale Big Five items—are highly scalable and psychometrically well-understood. However, decades of organizational psychology research demonstrate that self-report instruments are acutely vulnerable to socially desirable responding (SDR), impression management, and intentional faking-good behavior </w:t>
      </w:r>
      <w:r>
        <w:rPr>
          <w:rFonts w:ascii="Times New Roman" w:hAnsi="Times New Roman"/>
          <w:b/>
          <w:color w:val="1E3A8A"/>
          <w:sz w:val="24"/>
          <w:vertAlign w:val="superscript"/>
        </w:rPr>
        <w:t>[1]</w:t>
      </w:r>
      <w:r>
        <w:rPr>
          <w:rFonts w:ascii="Times New Roman" w:hAnsi="Times New Roman"/>
          <w:color w:val="1E293B"/>
          <w:sz w:val="24"/>
        </w:rPr>
        <w:t xml:space="preserve">, </w:t>
      </w:r>
      <w:r>
        <w:rPr>
          <w:rFonts w:ascii="Times New Roman" w:hAnsi="Times New Roman"/>
          <w:b/>
          <w:color w:val="1E3A8A"/>
          <w:sz w:val="24"/>
          <w:vertAlign w:val="superscript"/>
        </w:rPr>
        <w:t>[2]</w:t>
      </w:r>
      <w:r>
        <w:rPr>
          <w:rFonts w:ascii="Times New Roman" w:hAnsi="Times New Roman"/>
          <w:color w:val="1E293B"/>
          <w:sz w:val="24"/>
        </w:rPr>
        <w:t>. In applicant screening contexts where outcomes carry major career consequences, candidate responses systematically shift toward upper scale bounds, degrading construct validity and distorting occupational fit predictions.</w:t>
      </w:r>
    </w:p>
    <w:p>
      <w:pPr>
        <w:spacing w:after="120" w:line="276" w:lineRule="auto"/>
        <w:jc w:val="both"/>
      </w:pPr>
      <w:r>
        <w:rPr>
          <w:rFonts w:ascii="Times New Roman" w:hAnsi="Times New Roman"/>
          <w:color w:val="1E293B"/>
          <w:sz w:val="24"/>
        </w:rPr>
        <w:t xml:space="preserve">To mitigate SDR, modern psychometrics has introduced alternative evaluation paradigms, including Situational Judgment Tests (SJTs), forced-choice (quasi-ipsative) response formats, and response-latency behavioral tracking </w:t>
      </w:r>
      <w:r>
        <w:rPr>
          <w:rFonts w:ascii="Times New Roman" w:hAnsi="Times New Roman"/>
          <w:b/>
          <w:color w:val="1E3A8A"/>
          <w:sz w:val="24"/>
          <w:vertAlign w:val="superscript"/>
        </w:rPr>
        <w:t>[3]–[5]</w:t>
      </w:r>
      <w:r>
        <w:rPr>
          <w:rFonts w:ascii="Times New Roman" w:hAnsi="Times New Roman"/>
          <w:color w:val="1E293B"/>
          <w:sz w:val="24"/>
        </w:rPr>
        <w:t>. Concurrently, advancements in Natural Language Processing (NLP) allow latent trait extraction from unstructured free-text justification responses. While each individual technique addresses specific aspects of response distortion, existing literature lacks a unified, psychometrically defensible system that fuses multi-modal behavioral signals while explicitly quantifying occupational fit uncertainty.</w:t>
      </w:r>
    </w:p>
    <w:p>
      <w:pPr>
        <w:spacing w:after="120" w:line="276" w:lineRule="auto"/>
        <w:jc w:val="both"/>
      </w:pPr>
      <w:r>
        <w:rPr>
          <w:rFonts w:ascii="Times New Roman" w:hAnsi="Times New Roman"/>
          <w:color w:val="1E293B"/>
          <w:sz w:val="24"/>
        </w:rPr>
        <w:t>This research presents Project Mapan (Node A), an open-source, decision-support personality assessment architecture. Mapan formulates personality assessment not as an autonomous binary hiring decision, but as a confidence-calibrated occupational fit prediction pipeline. The core contributions of this paper are summarized as follows:</w:t>
        <w:br/>
        <w:t>1) Dual Meta-Analytic Fusion: We combine forced-choice ipsative scoring and response-latency dynamics—the two meta-analytically strongest mechanisms against faking—with Sentence Transformer NLP embeddings into a unified trait estimation engine.</w:t>
        <w:br/>
        <w:t>2) Calibrated Uncertainty Fit Engine: We engineer an occupational fit matcher that maps candidate trait vectors against standard O*NET role requirement profiles (Software Engineer, Data Analyst, Project Manager) while propagating trait-level measurement standard error into 95% confidence interval bands [CI_low, CI_high].</w:t>
        <w:br/>
        <w:t>3) Standalone Fairness Audit Gate: We design an inspectable demographic parity audit gate that evaluates subgroup performance gaps across Age, Gender, and Regional fields to prevent algorithmic bias.</w:t>
        <w:br/>
        <w:t>4) Empirical Ablation Framework: We evaluate Models 1 through 7 across n = 1,015,342 public responses and synthetic perturbation harnesses, establishing quantifiable trade-offs between faking-resistance and measurement reliability.</w:t>
      </w:r>
    </w:p>
    <w:p>
      <w:pPr>
        <w:keepNext/>
        <w:spacing w:before="360" w:after="160"/>
      </w:pPr>
      <w:r>
        <w:rPr>
          <w:rFonts w:ascii="Times New Roman" w:hAnsi="Times New Roman"/>
          <w:b/>
          <w:color w:val="1E3A8A"/>
          <w:sz w:val="32"/>
        </w:rPr>
        <w:t>II. RELATED WORK &amp; LITERATURE REVIEW</w:t>
      </w:r>
    </w:p>
    <w:p>
      <w:pPr>
        <w:spacing w:after="120" w:line="276" w:lineRule="auto"/>
        <w:jc w:val="both"/>
      </w:pPr>
      <w:r>
        <w:rPr>
          <w:rFonts w:ascii="Times New Roman" w:hAnsi="Times New Roman"/>
          <w:color w:val="1E293B"/>
          <w:sz w:val="24"/>
        </w:rPr>
        <w:t>The psychological and machine learning literature contains extensive work on candidate selection, situational judgment tests, and personality inference. Table I provides a structured literature review comparing key benchmark studies, methodologies, and core findings in the field.</w:t>
      </w:r>
    </w:p>
    <w:p>
      <w:pPr>
        <w:keepNext/>
        <w:spacing w:before="240" w:after="120"/>
      </w:pPr>
      <w:r>
        <w:rPr>
          <w:rFonts w:ascii="Times New Roman" w:hAnsi="Times New Roman"/>
          <w:b/>
          <w:i/>
          <w:color w:val="0F172A"/>
          <w:sz w:val="28"/>
        </w:rPr>
        <w:t>A. Literature Review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120" w:type="dxa"/>
              <w:bottom w:w="120" w:type="dxa"/>
              <w:left w:w="140" w:type="dxa"/>
              <w:right w:w="140" w:type="dxa"/>
            </w:tcMar>
          </w:tcPr>
          <w:p>
            <w:r>
              <w:rPr>
                <w:b/>
                <w:color w:val="FFFFFF"/>
                <w:sz w:val="21"/>
              </w:rPr>
              <w:t>Study / Reference</w:t>
            </w:r>
          </w:p>
        </w:tc>
        <w:tc>
          <w:tcPr>
            <w:tcW w:type="dxa" w:w="2016"/>
            <w:shd w:fill="1E3A8A"/>
            <w:tcMar>
              <w:top w:w="120" w:type="dxa"/>
              <w:bottom w:w="120" w:type="dxa"/>
              <w:left w:w="140" w:type="dxa"/>
              <w:right w:w="140" w:type="dxa"/>
            </w:tcMar>
          </w:tcPr>
          <w:p>
            <w:r>
              <w:rPr>
                <w:b/>
                <w:color w:val="FFFFFF"/>
                <w:sz w:val="21"/>
              </w:rPr>
              <w:t>Domain / Focus</w:t>
            </w:r>
          </w:p>
        </w:tc>
        <w:tc>
          <w:tcPr>
            <w:tcW w:type="dxa" w:w="2016"/>
            <w:shd w:fill="1E3A8A"/>
            <w:tcMar>
              <w:top w:w="120" w:type="dxa"/>
              <w:bottom w:w="120" w:type="dxa"/>
              <w:left w:w="140" w:type="dxa"/>
              <w:right w:w="140" w:type="dxa"/>
            </w:tcMar>
          </w:tcPr>
          <w:p>
            <w:r>
              <w:rPr>
                <w:b/>
                <w:color w:val="FFFFFF"/>
                <w:sz w:val="21"/>
              </w:rPr>
              <w:t>Methodology / Model</w:t>
            </w:r>
          </w:p>
        </w:tc>
        <w:tc>
          <w:tcPr>
            <w:tcW w:type="dxa" w:w="2016"/>
            <w:shd w:fill="1E3A8A"/>
            <w:tcMar>
              <w:top w:w="120" w:type="dxa"/>
              <w:bottom w:w="120" w:type="dxa"/>
              <w:left w:w="140" w:type="dxa"/>
              <w:right w:w="140" w:type="dxa"/>
            </w:tcMar>
          </w:tcPr>
          <w:p>
            <w:r>
              <w:rPr>
                <w:b/>
                <w:color w:val="FFFFFF"/>
                <w:sz w:val="21"/>
              </w:rPr>
              <w:t>Sample / Corpus</w:t>
            </w:r>
          </w:p>
        </w:tc>
        <w:tc>
          <w:tcPr>
            <w:tcW w:type="dxa" w:w="2016"/>
            <w:shd w:fill="1E3A8A"/>
            <w:tcMar>
              <w:top w:w="120" w:type="dxa"/>
              <w:bottom w:w="120" w:type="dxa"/>
              <w:left w:w="140" w:type="dxa"/>
              <w:right w:w="140" w:type="dxa"/>
            </w:tcMar>
          </w:tcPr>
          <w:p>
            <w:r>
              <w:rPr>
                <w:b/>
                <w:color w:val="FFFFFF"/>
                <w:sz w:val="21"/>
              </w:rPr>
              <w:t>Key Findings &amp; Impact</w:t>
            </w:r>
          </w:p>
        </w:tc>
      </w:tr>
      <w:tr>
        <w:tc>
          <w:tcPr>
            <w:tcW w:type="dxa" w:w="2016"/>
            <w:shd w:fill="FFFFFF"/>
            <w:tcMar>
              <w:top w:w="100" w:type="dxa"/>
              <w:bottom w:w="100" w:type="dxa"/>
              <w:left w:w="120" w:type="dxa"/>
              <w:right w:w="120" w:type="dxa"/>
            </w:tcMar>
          </w:tcPr>
          <w:p>
            <w:r>
              <w:rPr>
                <w:sz w:val="20"/>
              </w:rPr>
              <w:t>Sackett et al. (2022) [1]</w:t>
            </w:r>
          </w:p>
        </w:tc>
        <w:tc>
          <w:tcPr>
            <w:tcW w:type="dxa" w:w="2016"/>
            <w:shd w:fill="FFFFFF"/>
            <w:tcMar>
              <w:top w:w="100" w:type="dxa"/>
              <w:bottom w:w="100" w:type="dxa"/>
              <w:left w:w="120" w:type="dxa"/>
              <w:right w:w="120" w:type="dxa"/>
            </w:tcMar>
          </w:tcPr>
          <w:p>
            <w:r>
              <w:rPr>
                <w:sz w:val="20"/>
              </w:rPr>
              <w:t>Personnel Selection</w:t>
            </w:r>
          </w:p>
        </w:tc>
        <w:tc>
          <w:tcPr>
            <w:tcW w:type="dxa" w:w="2016"/>
            <w:shd w:fill="FFFFFF"/>
            <w:tcMar>
              <w:top w:w="100" w:type="dxa"/>
              <w:bottom w:w="100" w:type="dxa"/>
              <w:left w:w="120" w:type="dxa"/>
              <w:right w:w="120" w:type="dxa"/>
            </w:tcMar>
          </w:tcPr>
          <w:p>
            <w:r>
              <w:rPr>
                <w:sz w:val="20"/>
              </w:rPr>
              <w:t>Meta-Analytic Corrected Validity</w:t>
            </w:r>
          </w:p>
        </w:tc>
        <w:tc>
          <w:tcPr>
            <w:tcW w:type="dxa" w:w="2016"/>
            <w:shd w:fill="FFFFFF"/>
            <w:tcMar>
              <w:top w:w="100" w:type="dxa"/>
              <w:bottom w:w="100" w:type="dxa"/>
              <w:left w:w="120" w:type="dxa"/>
              <w:right w:w="120" w:type="dxa"/>
            </w:tcMar>
          </w:tcPr>
          <w:p>
            <w:r>
              <w:rPr>
                <w:sz w:val="20"/>
              </w:rPr>
              <w:t>Large-scale Meta-Analysis</w:t>
            </w:r>
          </w:p>
        </w:tc>
        <w:tc>
          <w:tcPr>
            <w:tcW w:type="dxa" w:w="2016"/>
            <w:shd w:fill="FFFFFF"/>
            <w:tcMar>
              <w:top w:w="100" w:type="dxa"/>
              <w:bottom w:w="100" w:type="dxa"/>
              <w:left w:w="120" w:type="dxa"/>
              <w:right w:w="120" w:type="dxa"/>
            </w:tcMar>
          </w:tcPr>
          <w:p>
            <w:r>
              <w:rPr>
                <w:sz w:val="20"/>
              </w:rPr>
              <w:t>Re-evaluated Assessment Centre validity to 0.29; structured interviews top-ranked at 0.42.</w:t>
            </w:r>
          </w:p>
        </w:tc>
      </w:tr>
      <w:tr>
        <w:tc>
          <w:tcPr>
            <w:tcW w:type="dxa" w:w="2016"/>
            <w:shd w:fill="F8FAFC"/>
            <w:tcMar>
              <w:top w:w="100" w:type="dxa"/>
              <w:bottom w:w="100" w:type="dxa"/>
              <w:left w:w="120" w:type="dxa"/>
              <w:right w:w="120" w:type="dxa"/>
            </w:tcMar>
          </w:tcPr>
          <w:p>
            <w:r>
              <w:rPr>
                <w:sz w:val="20"/>
              </w:rPr>
              <w:t>Martínez &amp; Salgado (2021) [2]</w:t>
            </w:r>
          </w:p>
        </w:tc>
        <w:tc>
          <w:tcPr>
            <w:tcW w:type="dxa" w:w="2016"/>
            <w:shd w:fill="F8FAFC"/>
            <w:tcMar>
              <w:top w:w="100" w:type="dxa"/>
              <w:bottom w:w="100" w:type="dxa"/>
              <w:left w:w="120" w:type="dxa"/>
              <w:right w:w="120" w:type="dxa"/>
            </w:tcMar>
          </w:tcPr>
          <w:p>
            <w:r>
              <w:rPr>
                <w:sz w:val="20"/>
              </w:rPr>
              <w:t>Faking Resistance</w:t>
            </w:r>
          </w:p>
        </w:tc>
        <w:tc>
          <w:tcPr>
            <w:tcW w:type="dxa" w:w="2016"/>
            <w:shd w:fill="F8FAFC"/>
            <w:tcMar>
              <w:top w:w="100" w:type="dxa"/>
              <w:bottom w:w="100" w:type="dxa"/>
              <w:left w:w="120" w:type="dxa"/>
              <w:right w:w="120" w:type="dxa"/>
            </w:tcMar>
          </w:tcPr>
          <w:p>
            <w:r>
              <w:rPr>
                <w:sz w:val="20"/>
              </w:rPr>
              <w:t>Forced-Choice Quasi-Ipsative IRT</w:t>
            </w:r>
          </w:p>
        </w:tc>
        <w:tc>
          <w:tcPr>
            <w:tcW w:type="dxa" w:w="2016"/>
            <w:shd w:fill="F8FAFC"/>
            <w:tcMar>
              <w:top w:w="100" w:type="dxa"/>
              <w:bottom w:w="100" w:type="dxa"/>
              <w:left w:w="120" w:type="dxa"/>
              <w:right w:w="120" w:type="dxa"/>
            </w:tcMar>
          </w:tcPr>
          <w:p>
            <w:r>
              <w:rPr>
                <w:sz w:val="20"/>
              </w:rPr>
              <w:t>Meta-Analysis across formats</w:t>
            </w:r>
          </w:p>
        </w:tc>
        <w:tc>
          <w:tcPr>
            <w:tcW w:type="dxa" w:w="2016"/>
            <w:shd w:fill="F8FAFC"/>
            <w:tcMar>
              <w:top w:w="100" w:type="dxa"/>
              <w:bottom w:w="100" w:type="dxa"/>
              <w:left w:w="120" w:type="dxa"/>
              <w:right w:w="120" w:type="dxa"/>
            </w:tcMar>
          </w:tcPr>
          <w:p>
            <w:r>
              <w:rPr>
                <w:sz w:val="20"/>
              </w:rPr>
              <w:t>Demonstrated meta-analytic faking resistance of quasi-ipsative inventories over Likert formats.</w:t>
            </w:r>
          </w:p>
        </w:tc>
      </w:tr>
      <w:tr>
        <w:tc>
          <w:tcPr>
            <w:tcW w:type="dxa" w:w="2016"/>
            <w:shd w:fill="FFFFFF"/>
            <w:tcMar>
              <w:top w:w="100" w:type="dxa"/>
              <w:bottom w:w="100" w:type="dxa"/>
              <w:left w:w="120" w:type="dxa"/>
              <w:right w:w="120" w:type="dxa"/>
            </w:tcMar>
          </w:tcPr>
          <w:p>
            <w:r>
              <w:rPr>
                <w:sz w:val="20"/>
              </w:rPr>
              <w:t>Krumm et al. (2024) [3]</w:t>
            </w:r>
          </w:p>
        </w:tc>
        <w:tc>
          <w:tcPr>
            <w:tcW w:type="dxa" w:w="2016"/>
            <w:shd w:fill="FFFFFF"/>
            <w:tcMar>
              <w:top w:w="100" w:type="dxa"/>
              <w:bottom w:w="100" w:type="dxa"/>
              <w:left w:w="120" w:type="dxa"/>
              <w:right w:w="120" w:type="dxa"/>
            </w:tcMar>
          </w:tcPr>
          <w:p>
            <w:r>
              <w:rPr>
                <w:sz w:val="20"/>
              </w:rPr>
              <w:t>Automated SJT Generation</w:t>
            </w:r>
          </w:p>
        </w:tc>
        <w:tc>
          <w:tcPr>
            <w:tcW w:type="dxa" w:w="2016"/>
            <w:shd w:fill="FFFFFF"/>
            <w:tcMar>
              <w:top w:w="100" w:type="dxa"/>
              <w:bottom w:w="100" w:type="dxa"/>
              <w:left w:w="120" w:type="dxa"/>
              <w:right w:w="120" w:type="dxa"/>
            </w:tcMar>
          </w:tcPr>
          <w:p>
            <w:r>
              <w:rPr>
                <w:sz w:val="20"/>
              </w:rPr>
              <w:t>LLM (GPT-3.5/4) Item Authoring</w:t>
            </w:r>
          </w:p>
        </w:tc>
        <w:tc>
          <w:tcPr>
            <w:tcW w:type="dxa" w:w="2016"/>
            <w:shd w:fill="FFFFFF"/>
            <w:tcMar>
              <w:top w:w="100" w:type="dxa"/>
              <w:bottom w:w="100" w:type="dxa"/>
              <w:left w:w="120" w:type="dxa"/>
              <w:right w:w="120" w:type="dxa"/>
            </w:tcMar>
          </w:tcPr>
          <w:p>
            <w:r>
              <w:rPr>
                <w:sz w:val="20"/>
              </w:rPr>
              <w:t>Psychometric Validation Study</w:t>
            </w:r>
          </w:p>
        </w:tc>
        <w:tc>
          <w:tcPr>
            <w:tcW w:type="dxa" w:w="2016"/>
            <w:shd w:fill="FFFFFF"/>
            <w:tcMar>
              <w:top w:w="100" w:type="dxa"/>
              <w:bottom w:w="100" w:type="dxa"/>
              <w:left w:w="120" w:type="dxa"/>
              <w:right w:w="120" w:type="dxa"/>
            </w:tcMar>
          </w:tcPr>
          <w:p>
            <w:r>
              <w:rPr>
                <w:sz w:val="20"/>
              </w:rPr>
              <w:t>Showed LLM-generated SJTs achieve internal consistency (ω = 0.82) comparable to human items.</w:t>
            </w:r>
          </w:p>
        </w:tc>
      </w:tr>
      <w:tr>
        <w:tc>
          <w:tcPr>
            <w:tcW w:type="dxa" w:w="2016"/>
            <w:shd w:fill="F8FAFC"/>
            <w:tcMar>
              <w:top w:w="100" w:type="dxa"/>
              <w:bottom w:w="100" w:type="dxa"/>
              <w:left w:w="120" w:type="dxa"/>
              <w:right w:w="120" w:type="dxa"/>
            </w:tcMar>
          </w:tcPr>
          <w:p>
            <w:r>
              <w:rPr>
                <w:sz w:val="20"/>
              </w:rPr>
              <w:t>Seitz et al. (2025) [5]</w:t>
            </w:r>
          </w:p>
        </w:tc>
        <w:tc>
          <w:tcPr>
            <w:tcW w:type="dxa" w:w="2016"/>
            <w:shd w:fill="F8FAFC"/>
            <w:tcMar>
              <w:top w:w="100" w:type="dxa"/>
              <w:bottom w:w="100" w:type="dxa"/>
              <w:left w:w="120" w:type="dxa"/>
              <w:right w:w="120" w:type="dxa"/>
            </w:tcMar>
          </w:tcPr>
          <w:p>
            <w:r>
              <w:rPr>
                <w:sz w:val="20"/>
              </w:rPr>
              <w:t>High-Stakes Faking</w:t>
            </w:r>
          </w:p>
        </w:tc>
        <w:tc>
          <w:tcPr>
            <w:tcW w:type="dxa" w:w="2016"/>
            <w:shd w:fill="F8FAFC"/>
            <w:tcMar>
              <w:top w:w="100" w:type="dxa"/>
              <w:bottom w:w="100" w:type="dxa"/>
              <w:left w:w="120" w:type="dxa"/>
              <w:right w:w="120" w:type="dxa"/>
            </w:tcMar>
          </w:tcPr>
          <w:p>
            <w:r>
              <w:rPr>
                <w:sz w:val="20"/>
              </w:rPr>
              <w:t>Multidimensional Nominal Response IRT</w:t>
            </w:r>
          </w:p>
        </w:tc>
        <w:tc>
          <w:tcPr>
            <w:tcW w:type="dxa" w:w="2016"/>
            <w:shd w:fill="F8FAFC"/>
            <w:tcMar>
              <w:top w:w="100" w:type="dxa"/>
              <w:bottom w:w="100" w:type="dxa"/>
              <w:left w:w="120" w:type="dxa"/>
              <w:right w:w="120" w:type="dxa"/>
            </w:tcMar>
          </w:tcPr>
          <w:p>
            <w:r>
              <w:rPr>
                <w:sz w:val="20"/>
              </w:rPr>
              <w:t>High-Stakes Applicant Data</w:t>
            </w:r>
          </w:p>
        </w:tc>
        <w:tc>
          <w:tcPr>
            <w:tcW w:type="dxa" w:w="2016"/>
            <w:shd w:fill="F8FAFC"/>
            <w:tcMar>
              <w:top w:w="100" w:type="dxa"/>
              <w:bottom w:w="100" w:type="dxa"/>
              <w:left w:w="120" w:type="dxa"/>
              <w:right w:w="120" w:type="dxa"/>
            </w:tcMar>
          </w:tcPr>
          <w:p>
            <w:r>
              <w:rPr>
                <w:sz w:val="20"/>
              </w:rPr>
              <w:t>Modeled faking response styles using nominal response IRT parameters in high-stakes testing.</w:t>
            </w:r>
          </w:p>
        </w:tc>
      </w:tr>
      <w:tr>
        <w:tc>
          <w:tcPr>
            <w:tcW w:type="dxa" w:w="2016"/>
            <w:shd w:fill="FFFFFF"/>
            <w:tcMar>
              <w:top w:w="100" w:type="dxa"/>
              <w:bottom w:w="100" w:type="dxa"/>
              <w:left w:w="120" w:type="dxa"/>
              <w:right w:w="120" w:type="dxa"/>
            </w:tcMar>
          </w:tcPr>
          <w:p>
            <w:r>
              <w:rPr>
                <w:sz w:val="20"/>
              </w:rPr>
              <w:t>ConFit v3 (2026) [15]</w:t>
            </w:r>
          </w:p>
        </w:tc>
        <w:tc>
          <w:tcPr>
            <w:tcW w:type="dxa" w:w="2016"/>
            <w:shd w:fill="FFFFFF"/>
            <w:tcMar>
              <w:top w:w="100" w:type="dxa"/>
              <w:bottom w:w="100" w:type="dxa"/>
              <w:left w:w="120" w:type="dxa"/>
              <w:right w:w="120" w:type="dxa"/>
            </w:tcMar>
          </w:tcPr>
          <w:p>
            <w:r>
              <w:rPr>
                <w:sz w:val="20"/>
              </w:rPr>
              <w:t>Person-Job Fit</w:t>
            </w:r>
          </w:p>
        </w:tc>
        <w:tc>
          <w:tcPr>
            <w:tcW w:type="dxa" w:w="2016"/>
            <w:shd w:fill="FFFFFF"/>
            <w:tcMar>
              <w:top w:w="100" w:type="dxa"/>
              <w:bottom w:w="100" w:type="dxa"/>
              <w:left w:w="120" w:type="dxa"/>
              <w:right w:w="120" w:type="dxa"/>
            </w:tcMar>
          </w:tcPr>
          <w:p>
            <w:r>
              <w:rPr>
                <w:sz w:val="20"/>
              </w:rPr>
              <w:t>LLM Embedding Re-Ranking</w:t>
            </w:r>
          </w:p>
        </w:tc>
        <w:tc>
          <w:tcPr>
            <w:tcW w:type="dxa" w:w="2016"/>
            <w:shd w:fill="FFFFFF"/>
            <w:tcMar>
              <w:top w:w="100" w:type="dxa"/>
              <w:bottom w:w="100" w:type="dxa"/>
              <w:left w:w="120" w:type="dxa"/>
              <w:right w:w="120" w:type="dxa"/>
            </w:tcMar>
          </w:tcPr>
          <w:p>
            <w:r>
              <w:rPr>
                <w:sz w:val="20"/>
              </w:rPr>
              <w:t>Resume &amp; Job Descriptions</w:t>
            </w:r>
          </w:p>
        </w:tc>
        <w:tc>
          <w:tcPr>
            <w:tcW w:type="dxa" w:w="2016"/>
            <w:shd w:fill="FFFFFF"/>
            <w:tcMar>
              <w:top w:w="100" w:type="dxa"/>
              <w:bottom w:w="100" w:type="dxa"/>
              <w:left w:w="120" w:type="dxa"/>
              <w:right w:w="120" w:type="dxa"/>
            </w:tcMar>
          </w:tcPr>
          <w:p>
            <w:r>
              <w:rPr>
                <w:sz w:val="20"/>
              </w:rPr>
              <w:t>Achieved high skills-matching accuracy but lacked trait-based uncertainty calibration.</w:t>
            </w:r>
          </w:p>
        </w:tc>
      </w:tr>
      <w:tr>
        <w:tc>
          <w:tcPr>
            <w:tcW w:type="dxa" w:w="2016"/>
            <w:shd w:fill="DCFCE7"/>
            <w:tcMar>
              <w:top w:w="100" w:type="dxa"/>
              <w:bottom w:w="100" w:type="dxa"/>
              <w:left w:w="120" w:type="dxa"/>
              <w:right w:w="120" w:type="dxa"/>
            </w:tcMar>
          </w:tcPr>
          <w:p>
            <w:r>
              <w:rPr>
                <w:b/>
                <w:sz w:val="20"/>
              </w:rPr>
              <w:t>Mapan (Proposed) [2026]</w:t>
            </w:r>
          </w:p>
        </w:tc>
        <w:tc>
          <w:tcPr>
            <w:tcW w:type="dxa" w:w="2016"/>
            <w:shd w:fill="DCFCE7"/>
            <w:tcMar>
              <w:top w:w="100" w:type="dxa"/>
              <w:bottom w:w="100" w:type="dxa"/>
              <w:left w:w="120" w:type="dxa"/>
              <w:right w:w="120" w:type="dxa"/>
            </w:tcMar>
          </w:tcPr>
          <w:p>
            <w:r>
              <w:rPr>
                <w:b/>
                <w:sz w:val="20"/>
              </w:rPr>
              <w:t>Occupational Fit &amp; Faking</w:t>
            </w:r>
          </w:p>
        </w:tc>
        <w:tc>
          <w:tcPr>
            <w:tcW w:type="dxa" w:w="2016"/>
            <w:shd w:fill="DCFCE7"/>
            <w:tcMar>
              <w:top w:w="100" w:type="dxa"/>
              <w:bottom w:w="100" w:type="dxa"/>
              <w:left w:w="120" w:type="dxa"/>
              <w:right w:w="120" w:type="dxa"/>
            </w:tcMar>
          </w:tcPr>
          <w:p>
            <w:r>
              <w:rPr>
                <w:b/>
                <w:sz w:val="20"/>
              </w:rPr>
              <w:t>Fused SJT + Latency + NLP + IRT</w:t>
            </w:r>
          </w:p>
        </w:tc>
        <w:tc>
          <w:tcPr>
            <w:tcW w:type="dxa" w:w="2016"/>
            <w:shd w:fill="DCFCE7"/>
            <w:tcMar>
              <w:top w:w="100" w:type="dxa"/>
              <w:bottom w:w="100" w:type="dxa"/>
              <w:left w:w="120" w:type="dxa"/>
              <w:right w:w="120" w:type="dxa"/>
            </w:tcMar>
          </w:tcPr>
          <w:p>
            <w:r>
              <w:rPr>
                <w:b/>
                <w:sz w:val="20"/>
              </w:rPr>
              <w:t>n=1,015,342 Public + Pilots</w:t>
            </w:r>
          </w:p>
        </w:tc>
        <w:tc>
          <w:tcPr>
            <w:tcW w:type="dxa" w:w="2016"/>
            <w:shd w:fill="DCFCE7"/>
            <w:tcMar>
              <w:top w:w="100" w:type="dxa"/>
              <w:bottom w:w="100" w:type="dxa"/>
              <w:left w:w="120" w:type="dxa"/>
              <w:right w:w="120" w:type="dxa"/>
            </w:tcMar>
          </w:tcPr>
          <w:p>
            <w:r>
              <w:rPr>
                <w:b/>
                <w:sz w:val="20"/>
              </w:rPr>
              <w:t>Reduces faking shift by 78.2% (Model 7) while providing 95% CI calibrated fit scores.</w:t>
            </w:r>
          </w:p>
        </w:tc>
      </w:tr>
    </w:tbl>
    <w:p>
      <w:pPr>
        <w:spacing w:after="120"/>
      </w:pPr>
    </w:p>
    <w:p>
      <w:pPr>
        <w:keepNext/>
        <w:spacing w:before="240" w:after="120"/>
      </w:pPr>
      <w:r>
        <w:rPr>
          <w:rFonts w:ascii="Times New Roman" w:hAnsi="Times New Roman"/>
          <w:b/>
          <w:i/>
          <w:color w:val="0F172A"/>
          <w:sz w:val="28"/>
        </w:rPr>
        <w:t>B. Taxonomy Comparison of Assessment Paradigms</w:t>
      </w:r>
    </w:p>
    <w:p>
      <w:pPr>
        <w:spacing w:after="120" w:line="276" w:lineRule="auto"/>
        <w:jc w:val="both"/>
      </w:pPr>
      <w:r>
        <w:rPr>
          <w:rFonts w:ascii="Times New Roman" w:hAnsi="Times New Roman"/>
          <w:color w:val="1E293B"/>
          <w:sz w:val="24"/>
        </w:rPr>
        <w:t>Table II provides a systematic taxonomy comparing conventional and emerging assessment paradigms across construct validity, faking resistance, scalability, and AI automation fit.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120" w:type="dxa"/>
              <w:bottom w:w="120" w:type="dxa"/>
              <w:left w:w="140" w:type="dxa"/>
              <w:right w:w="140" w:type="dxa"/>
            </w:tcMar>
          </w:tcPr>
          <w:p>
            <w:r>
              <w:rPr>
                <w:b/>
                <w:color w:val="FFFFFF"/>
                <w:sz w:val="20"/>
              </w:rPr>
              <w:t>Assessment Method</w:t>
            </w:r>
          </w:p>
        </w:tc>
        <w:tc>
          <w:tcPr>
            <w:tcW w:type="dxa" w:w="2016"/>
            <w:shd w:fill="1E3A8A"/>
            <w:tcMar>
              <w:top w:w="120" w:type="dxa"/>
              <w:bottom w:w="120" w:type="dxa"/>
              <w:left w:w="140" w:type="dxa"/>
              <w:right w:w="140" w:type="dxa"/>
            </w:tcMar>
          </w:tcPr>
          <w:p>
            <w:r>
              <w:rPr>
                <w:b/>
                <w:color w:val="FFFFFF"/>
                <w:sz w:val="20"/>
              </w:rPr>
              <w:t>Construct Validity</w:t>
            </w:r>
          </w:p>
        </w:tc>
        <w:tc>
          <w:tcPr>
            <w:tcW w:type="dxa" w:w="2016"/>
            <w:shd w:fill="1E3A8A"/>
            <w:tcMar>
              <w:top w:w="120" w:type="dxa"/>
              <w:bottom w:w="120" w:type="dxa"/>
              <w:left w:w="140" w:type="dxa"/>
              <w:right w:w="140" w:type="dxa"/>
            </w:tcMar>
          </w:tcPr>
          <w:p>
            <w:r>
              <w:rPr>
                <w:b/>
                <w:color w:val="FFFFFF"/>
                <w:sz w:val="20"/>
              </w:rPr>
              <w:t>Faking Resistance</w:t>
            </w:r>
          </w:p>
        </w:tc>
        <w:tc>
          <w:tcPr>
            <w:tcW w:type="dxa" w:w="2016"/>
            <w:shd w:fill="1E3A8A"/>
            <w:tcMar>
              <w:top w:w="120" w:type="dxa"/>
              <w:bottom w:w="120" w:type="dxa"/>
              <w:left w:w="140" w:type="dxa"/>
              <w:right w:w="140" w:type="dxa"/>
            </w:tcMar>
          </w:tcPr>
          <w:p>
            <w:r>
              <w:rPr>
                <w:b/>
                <w:color w:val="FFFFFF"/>
                <w:sz w:val="20"/>
              </w:rPr>
              <w:t>Scalability</w:t>
            </w:r>
          </w:p>
        </w:tc>
        <w:tc>
          <w:tcPr>
            <w:tcW w:type="dxa" w:w="2016"/>
            <w:shd w:fill="1E3A8A"/>
            <w:tcMar>
              <w:top w:w="120" w:type="dxa"/>
              <w:bottom w:w="120" w:type="dxa"/>
              <w:left w:w="140" w:type="dxa"/>
              <w:right w:w="140" w:type="dxa"/>
            </w:tcMar>
          </w:tcPr>
          <w:p>
            <w:r>
              <w:rPr>
                <w:b/>
                <w:color w:val="FFFFFF"/>
                <w:sz w:val="20"/>
              </w:rPr>
              <w:t>AI Automation Fit</w:t>
            </w:r>
          </w:p>
        </w:tc>
      </w:tr>
      <w:tr>
        <w:tc>
          <w:tcPr>
            <w:tcW w:type="dxa" w:w="2016"/>
            <w:shd w:fill="FFFFFF"/>
            <w:tcMar>
              <w:top w:w="100" w:type="dxa"/>
              <w:bottom w:w="100" w:type="dxa"/>
              <w:left w:w="120" w:type="dxa"/>
              <w:right w:w="120" w:type="dxa"/>
            </w:tcMar>
          </w:tcPr>
          <w:p>
            <w:r>
              <w:rPr>
                <w:sz w:val="20"/>
              </w:rPr>
              <w:t>Big Five Likert Self-Report</w:t>
            </w:r>
          </w:p>
        </w:tc>
        <w:tc>
          <w:tcPr>
            <w:tcW w:type="dxa" w:w="2016"/>
            <w:shd w:fill="FFFFFF"/>
            <w:tcMar>
              <w:top w:w="100" w:type="dxa"/>
              <w:bottom w:w="100" w:type="dxa"/>
              <w:left w:w="120" w:type="dxa"/>
              <w:right w:w="120" w:type="dxa"/>
            </w:tcMar>
          </w:tcPr>
          <w:p>
            <w:r>
              <w:rPr>
                <w:sz w:val="20"/>
              </w:rPr>
              <w:t>Strong (Decades)</w:t>
            </w:r>
          </w:p>
        </w:tc>
        <w:tc>
          <w:tcPr>
            <w:tcW w:type="dxa" w:w="2016"/>
            <w:shd w:fill="FFFFFF"/>
            <w:tcMar>
              <w:top w:w="100" w:type="dxa"/>
              <w:bottom w:w="100" w:type="dxa"/>
              <w:left w:w="120" w:type="dxa"/>
              <w:right w:w="120" w:type="dxa"/>
            </w:tcMar>
          </w:tcPr>
          <w:p>
            <w:r>
              <w:rPr>
                <w:sz w:val="20"/>
              </w:rPr>
              <w:t>Weak (Core Problem)</w:t>
            </w:r>
          </w:p>
        </w:tc>
        <w:tc>
          <w:tcPr>
            <w:tcW w:type="dxa" w:w="2016"/>
            <w:shd w:fill="FFFFFF"/>
            <w:tcMar>
              <w:top w:w="100" w:type="dxa"/>
              <w:bottom w:w="100" w:type="dxa"/>
              <w:left w:w="120" w:type="dxa"/>
              <w:right w:w="120" w:type="dxa"/>
            </w:tcMar>
          </w:tcPr>
          <w:p>
            <w:r>
              <w:rPr>
                <w:sz w:val="20"/>
              </w:rPr>
              <w:t>High</w:t>
            </w:r>
          </w:p>
        </w:tc>
        <w:tc>
          <w:tcPr>
            <w:tcW w:type="dxa" w:w="2016"/>
            <w:shd w:fill="FFFFFF"/>
            <w:tcMar>
              <w:top w:w="100" w:type="dxa"/>
              <w:bottom w:w="100" w:type="dxa"/>
              <w:left w:w="120" w:type="dxa"/>
              <w:right w:w="120" w:type="dxa"/>
            </w:tcMar>
          </w:tcPr>
          <w:p>
            <w:r>
              <w:rPr>
                <w:sz w:val="20"/>
              </w:rPr>
              <w:t>High (Automates Weak Point)</w:t>
            </w:r>
          </w:p>
        </w:tc>
      </w:tr>
      <w:tr>
        <w:tc>
          <w:tcPr>
            <w:tcW w:type="dxa" w:w="2016"/>
            <w:shd w:fill="F8FAFC"/>
            <w:tcMar>
              <w:top w:w="100" w:type="dxa"/>
              <w:bottom w:w="100" w:type="dxa"/>
              <w:left w:w="120" w:type="dxa"/>
              <w:right w:w="120" w:type="dxa"/>
            </w:tcMar>
          </w:tcPr>
          <w:p>
            <w:r>
              <w:rPr>
                <w:sz w:val="20"/>
              </w:rPr>
              <w:t>Forced-Choice / Quasi-Ipsative</w:t>
            </w:r>
          </w:p>
        </w:tc>
        <w:tc>
          <w:tcPr>
            <w:tcW w:type="dxa" w:w="2016"/>
            <w:shd w:fill="F8FAFC"/>
            <w:tcMar>
              <w:top w:w="100" w:type="dxa"/>
              <w:bottom w:w="100" w:type="dxa"/>
              <w:left w:w="120" w:type="dxa"/>
              <w:right w:w="120" w:type="dxa"/>
            </w:tcMar>
          </w:tcPr>
          <w:p>
            <w:r>
              <w:rPr>
                <w:sz w:val="20"/>
              </w:rPr>
              <w:t>Strong</w:t>
            </w:r>
          </w:p>
        </w:tc>
        <w:tc>
          <w:tcPr>
            <w:tcW w:type="dxa" w:w="2016"/>
            <w:shd w:fill="F8FAFC"/>
            <w:tcMar>
              <w:top w:w="100" w:type="dxa"/>
              <w:bottom w:w="100" w:type="dxa"/>
              <w:left w:w="120" w:type="dxa"/>
              <w:right w:w="120" w:type="dxa"/>
            </w:tcMar>
          </w:tcPr>
          <w:p>
            <w:r>
              <w:rPr>
                <w:sz w:val="20"/>
              </w:rPr>
              <w:t>Moderate–Strong</w:t>
            </w:r>
          </w:p>
        </w:tc>
        <w:tc>
          <w:tcPr>
            <w:tcW w:type="dxa" w:w="2016"/>
            <w:shd w:fill="F8FAFC"/>
            <w:tcMar>
              <w:top w:w="100" w:type="dxa"/>
              <w:bottom w:w="100" w:type="dxa"/>
              <w:left w:w="120" w:type="dxa"/>
              <w:right w:w="120" w:type="dxa"/>
            </w:tcMar>
          </w:tcPr>
          <w:p>
            <w:r>
              <w:rPr>
                <w:sz w:val="20"/>
              </w:rPr>
              <w:t>Medium</w:t>
            </w:r>
          </w:p>
        </w:tc>
        <w:tc>
          <w:tcPr>
            <w:tcW w:type="dxa" w:w="2016"/>
            <w:shd w:fill="F8FAFC"/>
            <w:tcMar>
              <w:top w:w="100" w:type="dxa"/>
              <w:bottom w:w="100" w:type="dxa"/>
              <w:left w:w="120" w:type="dxa"/>
              <w:right w:w="120" w:type="dxa"/>
            </w:tcMar>
          </w:tcPr>
          <w:p>
            <w:r>
              <w:rPr>
                <w:sz w:val="20"/>
              </w:rPr>
              <w:t>High</w:t>
            </w:r>
          </w:p>
        </w:tc>
      </w:tr>
      <w:tr>
        <w:tc>
          <w:tcPr>
            <w:tcW w:type="dxa" w:w="2016"/>
            <w:shd w:fill="FFFFFF"/>
            <w:tcMar>
              <w:top w:w="100" w:type="dxa"/>
              <w:bottom w:w="100" w:type="dxa"/>
              <w:left w:w="120" w:type="dxa"/>
              <w:right w:w="120" w:type="dxa"/>
            </w:tcMar>
          </w:tcPr>
          <w:p>
            <w:r>
              <w:rPr>
                <w:sz w:val="20"/>
              </w:rPr>
              <w:t>SJT (Human-Written)</w:t>
            </w:r>
          </w:p>
        </w:tc>
        <w:tc>
          <w:tcPr>
            <w:tcW w:type="dxa" w:w="2016"/>
            <w:shd w:fill="FFFFFF"/>
            <w:tcMar>
              <w:top w:w="100" w:type="dxa"/>
              <w:bottom w:w="100" w:type="dxa"/>
              <w:left w:w="120" w:type="dxa"/>
              <w:right w:w="120" w:type="dxa"/>
            </w:tcMar>
          </w:tcPr>
          <w:p>
            <w:r>
              <w:rPr>
                <w:sz w:val="20"/>
              </w:rPr>
              <w:t>Moderate</w:t>
            </w:r>
          </w:p>
        </w:tc>
        <w:tc>
          <w:tcPr>
            <w:tcW w:type="dxa" w:w="2016"/>
            <w:shd w:fill="FFFFFF"/>
            <w:tcMar>
              <w:top w:w="100" w:type="dxa"/>
              <w:bottom w:w="100" w:type="dxa"/>
              <w:left w:w="120" w:type="dxa"/>
              <w:right w:w="120" w:type="dxa"/>
            </w:tcMar>
          </w:tcPr>
          <w:p>
            <w:r>
              <w:rPr>
                <w:sz w:val="20"/>
              </w:rPr>
              <w:t>Moderate</w:t>
            </w:r>
          </w:p>
        </w:tc>
        <w:tc>
          <w:tcPr>
            <w:tcW w:type="dxa" w:w="2016"/>
            <w:shd w:fill="FFFFFF"/>
            <w:tcMar>
              <w:top w:w="100" w:type="dxa"/>
              <w:bottom w:w="100" w:type="dxa"/>
              <w:left w:w="120" w:type="dxa"/>
              <w:right w:w="120" w:type="dxa"/>
            </w:tcMar>
          </w:tcPr>
          <w:p>
            <w:r>
              <w:rPr>
                <w:sz w:val="20"/>
              </w:rPr>
              <w:t>Low (Expensive Authoring)</w:t>
            </w:r>
          </w:p>
        </w:tc>
        <w:tc>
          <w:tcPr>
            <w:tcW w:type="dxa" w:w="2016"/>
            <w:shd w:fill="FFFFFF"/>
            <w:tcMar>
              <w:top w:w="100" w:type="dxa"/>
              <w:bottom w:w="100" w:type="dxa"/>
              <w:left w:w="120" w:type="dxa"/>
              <w:right w:w="120" w:type="dxa"/>
            </w:tcMar>
          </w:tcPr>
          <w:p>
            <w:r>
              <w:rPr>
                <w:sz w:val="20"/>
              </w:rPr>
              <w:t>Medium</w:t>
            </w:r>
          </w:p>
        </w:tc>
      </w:tr>
      <w:tr>
        <w:tc>
          <w:tcPr>
            <w:tcW w:type="dxa" w:w="2016"/>
            <w:shd w:fill="F8FAFC"/>
            <w:tcMar>
              <w:top w:w="100" w:type="dxa"/>
              <w:bottom w:w="100" w:type="dxa"/>
              <w:left w:w="120" w:type="dxa"/>
              <w:right w:w="120" w:type="dxa"/>
            </w:tcMar>
          </w:tcPr>
          <w:p>
            <w:r>
              <w:rPr>
                <w:sz w:val="20"/>
              </w:rPr>
              <w:t>SJT (LLM-Generated)</w:t>
            </w:r>
          </w:p>
        </w:tc>
        <w:tc>
          <w:tcPr>
            <w:tcW w:type="dxa" w:w="2016"/>
            <w:shd w:fill="F8FAFC"/>
            <w:tcMar>
              <w:top w:w="100" w:type="dxa"/>
              <w:bottom w:w="100" w:type="dxa"/>
              <w:left w:w="120" w:type="dxa"/>
              <w:right w:w="120" w:type="dxa"/>
            </w:tcMar>
          </w:tcPr>
          <w:p>
            <w:r>
              <w:rPr>
                <w:sz w:val="20"/>
              </w:rPr>
              <w:t>Comparable (ω=0.82)</w:t>
            </w:r>
          </w:p>
        </w:tc>
        <w:tc>
          <w:tcPr>
            <w:tcW w:type="dxa" w:w="2016"/>
            <w:shd w:fill="F8FAFC"/>
            <w:tcMar>
              <w:top w:w="100" w:type="dxa"/>
              <w:bottom w:w="100" w:type="dxa"/>
              <w:left w:w="120" w:type="dxa"/>
              <w:right w:w="120" w:type="dxa"/>
            </w:tcMar>
          </w:tcPr>
          <w:p>
            <w:r>
              <w:rPr>
                <w:sz w:val="20"/>
              </w:rPr>
              <w:t>Untested Independently</w:t>
            </w:r>
          </w:p>
        </w:tc>
        <w:tc>
          <w:tcPr>
            <w:tcW w:type="dxa" w:w="2016"/>
            <w:shd w:fill="F8FAFC"/>
            <w:tcMar>
              <w:top w:w="100" w:type="dxa"/>
              <w:bottom w:w="100" w:type="dxa"/>
              <w:left w:w="120" w:type="dxa"/>
              <w:right w:w="120" w:type="dxa"/>
            </w:tcMar>
          </w:tcPr>
          <w:p>
            <w:r>
              <w:rPr>
                <w:sz w:val="20"/>
              </w:rPr>
              <w:t>High</w:t>
            </w:r>
          </w:p>
        </w:tc>
        <w:tc>
          <w:tcPr>
            <w:tcW w:type="dxa" w:w="2016"/>
            <w:shd w:fill="F8FAFC"/>
            <w:tcMar>
              <w:top w:w="100" w:type="dxa"/>
              <w:bottom w:w="100" w:type="dxa"/>
              <w:left w:w="120" w:type="dxa"/>
              <w:right w:w="120" w:type="dxa"/>
            </w:tcMar>
          </w:tcPr>
          <w:p>
            <w:r>
              <w:rPr>
                <w:sz w:val="20"/>
              </w:rPr>
              <w:t>High (Not Novel)</w:t>
            </w:r>
          </w:p>
        </w:tc>
      </w:tr>
      <w:tr>
        <w:tc>
          <w:tcPr>
            <w:tcW w:type="dxa" w:w="2016"/>
            <w:shd w:fill="FFFFFF"/>
            <w:tcMar>
              <w:top w:w="100" w:type="dxa"/>
              <w:bottom w:w="100" w:type="dxa"/>
              <w:left w:w="120" w:type="dxa"/>
              <w:right w:w="120" w:type="dxa"/>
            </w:tcMar>
          </w:tcPr>
          <w:p>
            <w:r>
              <w:rPr>
                <w:sz w:val="20"/>
              </w:rPr>
              <w:t>Response-Latency Augmented</w:t>
            </w:r>
          </w:p>
        </w:tc>
        <w:tc>
          <w:tcPr>
            <w:tcW w:type="dxa" w:w="2016"/>
            <w:shd w:fill="FFFFFF"/>
            <w:tcMar>
              <w:top w:w="100" w:type="dxa"/>
              <w:bottom w:w="100" w:type="dxa"/>
              <w:left w:w="120" w:type="dxa"/>
              <w:right w:w="120" w:type="dxa"/>
            </w:tcMar>
          </w:tcPr>
          <w:p>
            <w:r>
              <w:rPr>
                <w:sz w:val="20"/>
              </w:rPr>
              <w:t>Supplement</w:t>
            </w:r>
          </w:p>
        </w:tc>
        <w:tc>
          <w:tcPr>
            <w:tcW w:type="dxa" w:w="2016"/>
            <w:shd w:fill="FFFFFF"/>
            <w:tcMar>
              <w:top w:w="100" w:type="dxa"/>
              <w:bottom w:w="100" w:type="dxa"/>
              <w:left w:w="120" w:type="dxa"/>
              <w:right w:w="120" w:type="dxa"/>
            </w:tcMar>
          </w:tcPr>
          <w:p>
            <w:r>
              <w:rPr>
                <w:sz w:val="20"/>
              </w:rPr>
              <w:t>Moderate (Evidence-Backed)</w:t>
            </w:r>
          </w:p>
        </w:tc>
        <w:tc>
          <w:tcPr>
            <w:tcW w:type="dxa" w:w="2016"/>
            <w:shd w:fill="FFFFFF"/>
            <w:tcMar>
              <w:top w:w="100" w:type="dxa"/>
              <w:bottom w:w="100" w:type="dxa"/>
              <w:left w:w="120" w:type="dxa"/>
              <w:right w:w="120" w:type="dxa"/>
            </w:tcMar>
          </w:tcPr>
          <w:p>
            <w:r>
              <w:rPr>
                <w:sz w:val="20"/>
              </w:rPr>
              <w:t>High</w:t>
            </w:r>
          </w:p>
        </w:tc>
        <w:tc>
          <w:tcPr>
            <w:tcW w:type="dxa" w:w="2016"/>
            <w:shd w:fill="FFFFFF"/>
            <w:tcMar>
              <w:top w:w="100" w:type="dxa"/>
              <w:bottom w:w="100" w:type="dxa"/>
              <w:left w:w="120" w:type="dxa"/>
              <w:right w:w="120" w:type="dxa"/>
            </w:tcMar>
          </w:tcPr>
          <w:p>
            <w:r>
              <w:rPr>
                <w:sz w:val="20"/>
              </w:rPr>
              <w:t>High</w:t>
            </w:r>
          </w:p>
        </w:tc>
      </w:tr>
      <w:tr>
        <w:tc>
          <w:tcPr>
            <w:tcW w:type="dxa" w:w="2016"/>
            <w:shd w:fill="F8FAFC"/>
            <w:tcMar>
              <w:top w:w="100" w:type="dxa"/>
              <w:bottom w:w="100" w:type="dxa"/>
              <w:left w:w="120" w:type="dxa"/>
              <w:right w:w="120" w:type="dxa"/>
            </w:tcMar>
          </w:tcPr>
          <w:p>
            <w:r>
              <w:rPr>
                <w:sz w:val="20"/>
              </w:rPr>
              <w:t>Projective (TAT / WAT)</w:t>
            </w:r>
          </w:p>
        </w:tc>
        <w:tc>
          <w:tcPr>
            <w:tcW w:type="dxa" w:w="2016"/>
            <w:shd w:fill="F8FAFC"/>
            <w:tcMar>
              <w:top w:w="100" w:type="dxa"/>
              <w:bottom w:w="100" w:type="dxa"/>
              <w:left w:w="120" w:type="dxa"/>
              <w:right w:w="120" w:type="dxa"/>
            </w:tcMar>
          </w:tcPr>
          <w:p>
            <w:r>
              <w:rPr>
                <w:sz w:val="20"/>
              </w:rPr>
              <w:t>Weak / Contested</w:t>
            </w:r>
          </w:p>
        </w:tc>
        <w:tc>
          <w:tcPr>
            <w:tcW w:type="dxa" w:w="2016"/>
            <w:shd w:fill="F8FAFC"/>
            <w:tcMar>
              <w:top w:w="100" w:type="dxa"/>
              <w:bottom w:w="100" w:type="dxa"/>
              <w:left w:w="120" w:type="dxa"/>
              <w:right w:w="120" w:type="dxa"/>
            </w:tcMar>
          </w:tcPr>
          <w:p>
            <w:r>
              <w:rPr>
                <w:sz w:val="20"/>
              </w:rPr>
              <w:t>Claimed Strong</w:t>
            </w:r>
          </w:p>
        </w:tc>
        <w:tc>
          <w:tcPr>
            <w:tcW w:type="dxa" w:w="2016"/>
            <w:shd w:fill="F8FAFC"/>
            <w:tcMar>
              <w:top w:w="100" w:type="dxa"/>
              <w:bottom w:w="100" w:type="dxa"/>
              <w:left w:w="120" w:type="dxa"/>
              <w:right w:w="120" w:type="dxa"/>
            </w:tcMar>
          </w:tcPr>
          <w:p>
            <w:r>
              <w:rPr>
                <w:sz w:val="20"/>
              </w:rPr>
              <w:t>Low</w:t>
            </w:r>
          </w:p>
        </w:tc>
        <w:tc>
          <w:tcPr>
            <w:tcW w:type="dxa" w:w="2016"/>
            <w:shd w:fill="F8FAFC"/>
            <w:tcMar>
              <w:top w:w="100" w:type="dxa"/>
              <w:bottom w:w="100" w:type="dxa"/>
              <w:left w:w="120" w:type="dxa"/>
              <w:right w:w="120" w:type="dxa"/>
            </w:tcMar>
          </w:tcPr>
          <w:p>
            <w:r>
              <w:rPr>
                <w:sz w:val="20"/>
              </w:rPr>
              <w:t>Low (Not Recommended)</w:t>
            </w:r>
          </w:p>
        </w:tc>
      </w:tr>
      <w:tr>
        <w:tc>
          <w:tcPr>
            <w:tcW w:type="dxa" w:w="2016"/>
            <w:shd w:fill="FFFFFF"/>
            <w:tcMar>
              <w:top w:w="100" w:type="dxa"/>
              <w:bottom w:w="100" w:type="dxa"/>
              <w:left w:w="120" w:type="dxa"/>
              <w:right w:w="120" w:type="dxa"/>
            </w:tcMar>
          </w:tcPr>
          <w:p>
            <w:r>
              <w:rPr>
                <w:sz w:val="20"/>
              </w:rPr>
              <w:t>Multimodal / Biometric</w:t>
            </w:r>
          </w:p>
        </w:tc>
        <w:tc>
          <w:tcPr>
            <w:tcW w:type="dxa" w:w="2016"/>
            <w:shd w:fill="FFFFFF"/>
            <w:tcMar>
              <w:top w:w="100" w:type="dxa"/>
              <w:bottom w:w="100" w:type="dxa"/>
              <w:left w:w="120" w:type="dxa"/>
              <w:right w:w="120" w:type="dxa"/>
            </w:tcMar>
          </w:tcPr>
          <w:p>
            <w:r>
              <w:rPr>
                <w:sz w:val="20"/>
              </w:rPr>
              <w:t>Unestablished</w:t>
            </w:r>
          </w:p>
        </w:tc>
        <w:tc>
          <w:tcPr>
            <w:tcW w:type="dxa" w:w="2016"/>
            <w:shd w:fill="FFFFFF"/>
            <w:tcMar>
              <w:top w:w="100" w:type="dxa"/>
              <w:bottom w:w="100" w:type="dxa"/>
              <w:left w:w="120" w:type="dxa"/>
              <w:right w:w="120" w:type="dxa"/>
            </w:tcMar>
          </w:tcPr>
          <w:p>
            <w:r>
              <w:rPr>
                <w:sz w:val="20"/>
              </w:rPr>
              <w:t>Unknown</w:t>
            </w:r>
          </w:p>
        </w:tc>
        <w:tc>
          <w:tcPr>
            <w:tcW w:type="dxa" w:w="2016"/>
            <w:shd w:fill="FFFFFF"/>
            <w:tcMar>
              <w:top w:w="100" w:type="dxa"/>
              <w:bottom w:w="100" w:type="dxa"/>
              <w:left w:w="120" w:type="dxa"/>
              <w:right w:w="120" w:type="dxa"/>
            </w:tcMar>
          </w:tcPr>
          <w:p>
            <w:r>
              <w:rPr>
                <w:sz w:val="20"/>
              </w:rPr>
              <w:t>Low (Legal Exposure)</w:t>
            </w:r>
          </w:p>
        </w:tc>
        <w:tc>
          <w:tcPr>
            <w:tcW w:type="dxa" w:w="2016"/>
            <w:shd w:fill="FFFFFF"/>
            <w:tcMar>
              <w:top w:w="100" w:type="dxa"/>
              <w:bottom w:w="100" w:type="dxa"/>
              <w:left w:w="120" w:type="dxa"/>
              <w:right w:w="120" w:type="dxa"/>
            </w:tcMar>
          </w:tcPr>
          <w:p>
            <w:r>
              <w:rPr>
                <w:sz w:val="20"/>
              </w:rPr>
              <w:t>Excluded per Bias Rules</w:t>
            </w:r>
          </w:p>
        </w:tc>
      </w:tr>
      <w:tr>
        <w:tc>
          <w:tcPr>
            <w:tcW w:type="dxa" w:w="2016"/>
            <w:shd w:fill="F8FAFC"/>
            <w:tcMar>
              <w:top w:w="100" w:type="dxa"/>
              <w:bottom w:w="100" w:type="dxa"/>
              <w:left w:w="120" w:type="dxa"/>
              <w:right w:w="120" w:type="dxa"/>
            </w:tcMar>
          </w:tcPr>
          <w:p>
            <w:r>
              <w:rPr>
                <w:sz w:val="20"/>
              </w:rPr>
              <w:t>Assessment Centre (Holistic)</w:t>
            </w:r>
          </w:p>
        </w:tc>
        <w:tc>
          <w:tcPr>
            <w:tcW w:type="dxa" w:w="2016"/>
            <w:shd w:fill="F8FAFC"/>
            <w:tcMar>
              <w:top w:w="100" w:type="dxa"/>
              <w:bottom w:w="100" w:type="dxa"/>
              <w:left w:w="120" w:type="dxa"/>
              <w:right w:w="120" w:type="dxa"/>
            </w:tcMar>
          </w:tcPr>
          <w:p>
            <w:r>
              <w:rPr>
                <w:sz w:val="20"/>
              </w:rPr>
              <w:t>0.29 (Corrected)</w:t>
            </w:r>
          </w:p>
        </w:tc>
        <w:tc>
          <w:tcPr>
            <w:tcW w:type="dxa" w:w="2016"/>
            <w:shd w:fill="F8FAFC"/>
            <w:tcMar>
              <w:top w:w="100" w:type="dxa"/>
              <w:bottom w:w="100" w:type="dxa"/>
              <w:left w:w="120" w:type="dxa"/>
              <w:right w:w="120" w:type="dxa"/>
            </w:tcMar>
          </w:tcPr>
          <w:p>
            <w:r>
              <w:rPr>
                <w:sz w:val="20"/>
              </w:rPr>
              <w:t>Low–Moderate</w:t>
            </w:r>
          </w:p>
        </w:tc>
        <w:tc>
          <w:tcPr>
            <w:tcW w:type="dxa" w:w="2016"/>
            <w:shd w:fill="F8FAFC"/>
            <w:tcMar>
              <w:top w:w="100" w:type="dxa"/>
              <w:bottom w:w="100" w:type="dxa"/>
              <w:left w:w="120" w:type="dxa"/>
              <w:right w:w="120" w:type="dxa"/>
            </w:tcMar>
          </w:tcPr>
          <w:p>
            <w:r>
              <w:rPr>
                <w:sz w:val="20"/>
              </w:rPr>
              <w:t>Low (Resource-Heavy)</w:t>
            </w:r>
          </w:p>
        </w:tc>
        <w:tc>
          <w:tcPr>
            <w:tcW w:type="dxa" w:w="2016"/>
            <w:shd w:fill="F8FAFC"/>
            <w:tcMar>
              <w:top w:w="100" w:type="dxa"/>
              <w:bottom w:w="100" w:type="dxa"/>
              <w:left w:w="120" w:type="dxa"/>
              <w:right w:w="120" w:type="dxa"/>
            </w:tcMar>
          </w:tcPr>
          <w:p>
            <w:r>
              <w:rPr>
                <w:sz w:val="20"/>
              </w:rPr>
              <w:t>Low</w:t>
            </w:r>
          </w:p>
        </w:tc>
      </w:tr>
    </w:tbl>
    <w:p>
      <w:pPr>
        <w:spacing w:after="120"/>
      </w:pPr>
    </w:p>
    <w:p>
      <w:pPr>
        <w:keepNext/>
        <w:spacing w:before="360" w:after="160"/>
      </w:pPr>
      <w:r>
        <w:rPr>
          <w:rFonts w:ascii="Times New Roman" w:hAnsi="Times New Roman"/>
          <w:b/>
          <w:color w:val="1E3A8A"/>
          <w:sz w:val="32"/>
        </w:rPr>
        <w:t>III. PROBLEM FORMULATION &amp; MATHEMATICAL MODELING</w:t>
      </w:r>
    </w:p>
    <w:p>
      <w:pPr>
        <w:keepNext/>
        <w:spacing w:before="240" w:after="120"/>
      </w:pPr>
      <w:r>
        <w:rPr>
          <w:rFonts w:ascii="Times New Roman" w:hAnsi="Times New Roman"/>
          <w:b/>
          <w:i/>
          <w:color w:val="0F172A"/>
          <w:sz w:val="28"/>
        </w:rPr>
        <w:t>A. Classical &amp; Item Response Psychometric Trait Modeling</w:t>
      </w:r>
    </w:p>
    <w:p>
      <w:pPr>
        <w:spacing w:after="120" w:line="276" w:lineRule="auto"/>
        <w:jc w:val="both"/>
      </w:pPr>
      <w:r>
        <w:rPr>
          <w:rFonts w:ascii="Times New Roman" w:hAnsi="Times New Roman"/>
          <w:color w:val="1E293B"/>
          <w:sz w:val="24"/>
        </w:rPr>
        <w:t xml:space="preserve">Let candidate response matrix be denoted as X ∈ R^{N × M} for N respondents and M items. Under Classical Test Theory (CTT), scale internal consistency is evaluated using Cronbach's α and McDonald's hierarchical ω </w:t>
      </w:r>
      <w:r>
        <w:rPr>
          <w:rFonts w:ascii="Times New Roman" w:hAnsi="Times New Roman"/>
          <w:b/>
          <w:color w:val="1E3A8A"/>
          <w:sz w:val="24"/>
          <w:vertAlign w:val="superscript"/>
        </w:rPr>
        <w:t>[17]</w:t>
      </w:r>
      <w:r>
        <w:rPr>
          <w:rFonts w:ascii="Times New Roman" w:hAnsi="Times New Roman"/>
          <w:color w:val="1E293B"/>
          <w:sz w:val="24"/>
        </w:rPr>
        <w:t>:</w:t>
      </w:r>
    </w:p>
    <w:p>
      <w:pPr>
        <w:spacing w:before="80" w:after="80"/>
        <w:jc w:val="center"/>
      </w:pPr>
      <w:r>
        <w:rPr>
          <w:b/>
          <w:i/>
          <w:sz w:val="22"/>
        </w:rPr>
        <w:t>α = (M / (M - 1)) × [ 1 - ( ∑ σ_j² / σ_total² ) ]   (1)</w:t>
      </w:r>
    </w:p>
    <w:p>
      <w:pPr>
        <w:spacing w:after="120" w:line="276" w:lineRule="auto"/>
        <w:jc w:val="both"/>
      </w:pPr>
      <w:r>
        <w:rPr>
          <w:rFonts w:ascii="Times New Roman" w:hAnsi="Times New Roman"/>
          <w:color w:val="1E293B"/>
          <w:sz w:val="24"/>
        </w:rPr>
        <w:t>Standard Error of Measurement (SEM) for candidate i on latent trait k is derived from scale reliability r_xx:</w:t>
      </w:r>
    </w:p>
    <w:p>
      <w:pPr>
        <w:spacing w:before="80" w:after="80"/>
        <w:jc w:val="center"/>
      </w:pPr>
      <w:r>
        <w:rPr>
          <w:b/>
          <w:i/>
          <w:sz w:val="22"/>
        </w:rPr>
        <w:t>SEM_k = SD_k × √( 1 - r_xx ) / √M_k   (2)</w:t>
      </w:r>
    </w:p>
    <w:p>
      <w:pPr>
        <w:spacing w:after="120" w:line="276" w:lineRule="auto"/>
        <w:jc w:val="both"/>
      </w:pPr>
      <w:r>
        <w:rPr>
          <w:rFonts w:ascii="Times New Roman" w:hAnsi="Times New Roman"/>
          <w:color w:val="1E293B"/>
          <w:sz w:val="24"/>
        </w:rPr>
        <w:t>For Item Response Theory (IRT), we formulate a 2-Parameter Logistic (2PL) model estimating latent ability θ_i given item discrimination a_j and difficulty b_j:</w:t>
      </w:r>
    </w:p>
    <w:p>
      <w:pPr>
        <w:spacing w:before="80" w:after="80"/>
        <w:jc w:val="center"/>
      </w:pPr>
      <w:r>
        <w:rPr>
          <w:b/>
          <w:i/>
          <w:sz w:val="22"/>
        </w:rPr>
        <w:t>P(Y_ij = 1 | θ_i, a_j, b_j) = 1 / [ 1 + e^(-a_j (θ_i - b_j)) ]   (3)</w:t>
      </w:r>
    </w:p>
    <w:p>
      <w:pPr>
        <w:keepNext/>
        <w:spacing w:before="240" w:after="120"/>
      </w:pPr>
      <w:r>
        <w:rPr>
          <w:rFonts w:ascii="Times New Roman" w:hAnsi="Times New Roman"/>
          <w:b/>
          <w:i/>
          <w:color w:val="0F172A"/>
          <w:sz w:val="28"/>
        </w:rPr>
        <w:t>B. Latency &amp; Forced-Choice Consistency Correction Operators</w:t>
      </w:r>
    </w:p>
    <w:p>
      <w:pPr>
        <w:spacing w:after="120" w:line="276" w:lineRule="auto"/>
        <w:jc w:val="both"/>
      </w:pPr>
      <w:r>
        <w:rPr>
          <w:rFonts w:ascii="Times New Roman" w:hAnsi="Times New Roman"/>
          <w:color w:val="1E293B"/>
          <w:sz w:val="24"/>
        </w:rPr>
        <w:t xml:space="preserve">Let t_ij denote response latency in milliseconds for candidate i on item j. Rapid response times (&lt; 1500 ms) reflect low cognitive deliberation and heightened SDR intent </w:t>
      </w:r>
      <w:r>
        <w:rPr>
          <w:rFonts w:ascii="Times New Roman" w:hAnsi="Times New Roman"/>
          <w:b/>
          <w:color w:val="1E3A8A"/>
          <w:sz w:val="24"/>
          <w:vertAlign w:val="superscript"/>
        </w:rPr>
        <w:t>[8]</w:t>
      </w:r>
      <w:r>
        <w:rPr>
          <w:rFonts w:ascii="Times New Roman" w:hAnsi="Times New Roman"/>
          <w:color w:val="1E293B"/>
          <w:sz w:val="24"/>
        </w:rPr>
        <w:t>. We define the latency modifier function Λ(t_avg):</w:t>
      </w:r>
    </w:p>
    <w:p>
      <w:pPr>
        <w:spacing w:before="80" w:after="80"/>
        <w:jc w:val="center"/>
      </w:pPr>
      <w:r>
        <w:rPr>
          <w:b/>
          <w:i/>
          <w:sz w:val="22"/>
        </w:rPr>
        <w:t>Λ(t_avg) = -0.05 if t_avg &lt; 1500 ms;  +0.02 if 2500 ≤ t_avg ≤ 6000 ms;  0 otherwise   (4)</w:t>
      </w:r>
    </w:p>
    <w:p>
      <w:pPr>
        <w:keepNext/>
        <w:spacing w:before="240" w:after="120"/>
      </w:pPr>
      <w:r>
        <w:rPr>
          <w:rFonts w:ascii="Times New Roman" w:hAnsi="Times New Roman"/>
          <w:b/>
          <w:i/>
          <w:color w:val="0F172A"/>
          <w:sz w:val="28"/>
        </w:rPr>
        <w:t>C. Occupational Fit Vector Matching &amp; Uncertainty Propagation</w:t>
      </w:r>
    </w:p>
    <w:p>
      <w:pPr>
        <w:spacing w:after="120" w:line="276" w:lineRule="auto"/>
        <w:jc w:val="both"/>
      </w:pPr>
      <w:r>
        <w:rPr>
          <w:rFonts w:ascii="Times New Roman" w:hAnsi="Times New Roman"/>
          <w:color w:val="1E293B"/>
          <w:sz w:val="24"/>
        </w:rPr>
        <w:t>Given estimated candidate trait vector θ^ = [θ_1, ..., θ_K] with standard errors SE = [SE_1, ..., SE_K] and target role requirement vector τ = [τ_1, ..., τ_K] with weights w = [w_1, ..., w_K], the overall Occupational Fit Index (Fit ∈ [0, 100]) and 95% Confidence Interval bounds are formulated as:</w:t>
      </w:r>
    </w:p>
    <w:p>
      <w:pPr>
        <w:spacing w:before="80" w:after="80"/>
        <w:jc w:val="center"/>
      </w:pPr>
      <w:r>
        <w:rPr>
          <w:b/>
          <w:i/>
          <w:sz w:val="22"/>
        </w:rPr>
        <w:t>Fit = max( 0, min( 100, [ 1 - √( ∑ w_k (θ^_k - τ_k)² / ∑ w_k ) ] × 100 ) )   (5)</w:t>
      </w:r>
    </w:p>
    <w:p>
      <w:pPr>
        <w:spacing w:before="80" w:after="80"/>
        <w:jc w:val="center"/>
      </w:pPr>
      <w:r>
        <w:rPr>
          <w:b/>
          <w:i/>
          <w:sz w:val="22"/>
        </w:rPr>
        <w:t>CI_95% = Fit ± 1.96 × [ √( ∑ (w_k SE_k)² ) / ∑ w_k ] × 100   (6)</w:t>
      </w:r>
    </w:p>
    <w:p>
      <w:pPr>
        <w:keepNext/>
        <w:spacing w:before="360" w:after="160"/>
      </w:pPr>
      <w:r>
        <w:rPr>
          <w:rFonts w:ascii="Times New Roman" w:hAnsi="Times New Roman"/>
          <w:b/>
          <w:color w:val="1E3A8A"/>
          <w:sz w:val="32"/>
        </w:rPr>
        <w:t>IV. SYSTEM ARCHITECTURE &amp; METHODOLOGY FLOW</w:t>
      </w:r>
    </w:p>
    <w:p>
      <w:pPr>
        <w:spacing w:after="120" w:line="276" w:lineRule="auto"/>
        <w:jc w:val="both"/>
      </w:pPr>
      <w:r>
        <w:rPr>
          <w:rFonts w:ascii="Times New Roman" w:hAnsi="Times New Roman"/>
          <w:color w:val="1E293B"/>
          <w:sz w:val="24"/>
        </w:rPr>
        <w:t>Project Mapan is engineered as a decoupled full-stack architecture. Figure 1 provides a structured methodology flow diagram illustrating candidate response capture, multi-pipeline processing, feature fusion, fit matching, and fairness gate evaluation.</w:t>
      </w:r>
    </w:p>
    <w:p>
      <w:pPr>
        <w:keepNext/>
        <w:spacing w:before="240" w:after="120"/>
      </w:pPr>
      <w:r>
        <w:rPr>
          <w:rFonts w:ascii="Times New Roman" w:hAnsi="Times New Roman"/>
          <w:b/>
          <w:i/>
          <w:color w:val="0F172A"/>
          <w:sz w:val="28"/>
        </w:rPr>
        <w:t>A. Project Mapan Methodology Flow Diagram</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Pr>
          <w:p>
            <w:pPr>
              <w:spacing w:line="276" w:lineRule="auto"/>
              <w:jc w:val="center"/>
            </w:pPr>
            <w:r>
              <w:rPr>
                <w:rFonts w:ascii="Consolas" w:hAnsi="Consolas"/>
                <w:b/>
                <w:color w:val="1E3A8A"/>
                <w:sz w:val="19"/>
              </w:rPr>
              <w:t>┌─────────────────────────────────────────────────────────────────────────┐</w:t>
              <w:br/>
              <w:t>│                      CANDIDATE ASSESSMENT INPUT                         │</w:t>
              <w:br/>
              <w:t>│          (SJT Choices + Millisecond Latency + Free-Text Justifications) │</w:t>
              <w:br/>
              <w:t>└────────────────────────────────────┬────────────────────────────────────┘</w:t>
              <w:br/>
              <w:t xml:space="preserve">                                     │</w:t>
              <w:br/>
              <w:t xml:space="preserve">         ┌───────────────────────────┼───────────────────────────┐</w:t>
              <w:br/>
              <w:t xml:space="preserve">         ▼                           ▼                           ▼</w:t>
              <w:br/>
              <w:t>┌─────────────────┐         ┌─────────────────┐         ┌─────────────────┐</w:t>
              <w:br/>
              <w:t>│  PSYCHOMETRIC   │         │  BEHAVIORAL     │         │   NLP EMBEDDING │</w:t>
              <w:br/>
              <w:t>│  PIPELINE       │         │  LATENCY &amp; FC   │         │   PIPELINE      │</w:t>
              <w:br/>
              <w:t>│  (CTT &amp; IRT)    │         │  OPERATORS      │         │   (Transformers)│</w:t>
              <w:br/>
              <w:t>└────────┬────────┘         └────────┬────────┘         └────────┬────────┘</w:t>
              <w:br/>
              <w:t xml:space="preserve">         │                           │                           │</w:t>
              <w:br/>
              <w:t xml:space="preserve">         └───────────────────────────┼───────────────────────────┘</w:t>
              <w:br/>
              <w:t xml:space="preserve">                                     ▼</w:t>
              <w:br/>
              <w:t>┌─────────────────────────────────────────────────────────────────────────┐</w:t>
              <w:br/>
              <w:t>│                   FEATURE FUSION ENGINE (MODEL 7)                       │</w:t>
              <w:br/>
              <w:t>│  (60% SJT + 15% Self-Report + 15% NLP Embeddings + 10% Latency &amp; FC)    │</w:t>
              <w:br/>
              <w:t>└────────────────────────────────────┬────────────────────────────────────┘</w:t>
              <w:br/>
              <w:t xml:space="preserve">                                     │</w:t>
              <w:br/>
              <w:t xml:space="preserve">                                     ▼</w:t>
              <w:br/>
              <w:t>┌─────────────────────────────────────────────────────────────────────────┐</w:t>
              <w:br/>
              <w:t>│                OCCUPATIONAL FIT MATCHING &amp; UNCERTAINTY                  │</w:t>
              <w:br/>
              <w:t>│       (O*NET Requirements + Vector Distance + 95% CI Propagation)       │</w:t>
              <w:br/>
              <w:t>└────────────────────────────────────┬────────────────────────────────────┘</w:t>
              <w:br/>
              <w:t xml:space="preserve">                                     │</w:t>
              <w:br/>
              <w:t xml:space="preserve">         ┌───────────────────────────┴───────────────────────────┐</w:t>
              <w:br/>
              <w:t xml:space="preserve">         ▼                                                       ▼</w:t>
              <w:br/>
              <w:t>┌─────────────────────────────────┐             ┌─────────────────────────────────┐</w:t>
              <w:br/>
              <w:t>│    STANDALONE FAIRNESS AUDIT    │             │   CONFIDENCE &amp; EXPLAINABILITY   │</w:t>
              <w:br/>
              <w:t>│    GATE (Age, Gender, Region)   │             │   REPORTS (HR/VC Dashboard)     │</w:t>
              <w:br/>
              <w:t>└─────────────────────────────────┘             └─────────────────────────────────┘</w:t>
            </w:r>
          </w:p>
        </w:tc>
      </w:tr>
    </w:tbl>
    <w:p>
      <w:pPr>
        <w:spacing w:before="80" w:after="240"/>
        <w:jc w:val="center"/>
      </w:pPr>
      <w:r>
        <w:rPr>
          <w:i/>
          <w:sz w:val="20"/>
        </w:rPr>
        <w:t>Fig. 1. End-to-end Project Mapan (Node A) methodology flow diagram illustrating signal fusion and fairness auditing.</w:t>
      </w:r>
    </w:p>
    <w:p>
      <w:pPr>
        <w:keepNext/>
        <w:spacing w:before="360" w:after="160"/>
      </w:pPr>
      <w:r>
        <w:rPr>
          <w:rFonts w:ascii="Times New Roman" w:hAnsi="Times New Roman"/>
          <w:b/>
          <w:color w:val="1E3A8A"/>
          <w:sz w:val="32"/>
        </w:rPr>
        <w:t>V. DATASETS &amp; BENCHMARKS</w:t>
      </w:r>
    </w:p>
    <w:p>
      <w:pPr>
        <w:spacing w:after="120" w:line="276" w:lineRule="auto"/>
        <w:jc w:val="both"/>
      </w:pPr>
      <w:r>
        <w:rPr>
          <w:rFonts w:ascii="Times New Roman" w:hAnsi="Times New Roman"/>
          <w:color w:val="1E293B"/>
          <w:sz w:val="24"/>
        </w:rPr>
        <w:t>Mapan is benchmarked across public psychometric and linguistic datasets:</w:t>
        <w:br/>
        <w:t xml:space="preserve">1) Open-Source Psychometrics Project: Big Five 50-item inventory dataset (n = 1,015,342) with item completion times </w:t>
      </w:r>
      <w:r>
        <w:rPr>
          <w:rFonts w:ascii="Times New Roman" w:hAnsi="Times New Roman"/>
          <w:b/>
          <w:color w:val="1E3A8A"/>
          <w:sz w:val="24"/>
          <w:vertAlign w:val="superscript"/>
        </w:rPr>
        <w:t>[11]</w:t>
      </w:r>
      <w:r>
        <w:rPr>
          <w:rFonts w:ascii="Times New Roman" w:hAnsi="Times New Roman"/>
          <w:color w:val="1E293B"/>
          <w:sz w:val="24"/>
        </w:rPr>
        <w:t>.</w:t>
        <w:br/>
        <w:t xml:space="preserve">2) PANDORA Reddit Corpus &amp; Big Five Essays: Self-report labeled text corpora (~2,400 essays) for training sentence embedding trait regressors </w:t>
      </w:r>
      <w:r>
        <w:rPr>
          <w:rFonts w:ascii="Times New Roman" w:hAnsi="Times New Roman"/>
          <w:b/>
          <w:color w:val="1E3A8A"/>
          <w:sz w:val="24"/>
          <w:vertAlign w:val="superscript"/>
        </w:rPr>
        <w:t>[10]</w:t>
      </w:r>
      <w:r>
        <w:rPr>
          <w:rFonts w:ascii="Times New Roman" w:hAnsi="Times New Roman"/>
          <w:color w:val="1E293B"/>
          <w:sz w:val="24"/>
        </w:rPr>
        <w:t>.</w:t>
        <w:br/>
        <w:t>3) O*NET Database: US Department of Labor occupational requirement profiles for Software Engineer (15-1252.00), Data Analyst (15-2051.00), and Project Manager (11-9199.00).</w:t>
      </w:r>
    </w:p>
    <w:p>
      <w:pPr>
        <w:keepNext/>
        <w:spacing w:before="360" w:after="160"/>
      </w:pPr>
      <w:r>
        <w:rPr>
          <w:rFonts w:ascii="Times New Roman" w:hAnsi="Times New Roman"/>
          <w:b/>
          <w:color w:val="1E3A8A"/>
          <w:sz w:val="32"/>
        </w:rPr>
        <w:t>VI. EXPERIMENTAL SETUP &amp; ABLATION STUDY DESIGN</w:t>
      </w:r>
    </w:p>
    <w:p>
      <w:pPr>
        <w:spacing w:after="120" w:line="276" w:lineRule="auto"/>
        <w:jc w:val="both"/>
      </w:pPr>
      <w:r>
        <w:rPr>
          <w:rFonts w:ascii="Times New Roman" w:hAnsi="Times New Roman"/>
          <w:color w:val="1E293B"/>
          <w:sz w:val="24"/>
        </w:rPr>
        <w:t>To systematically evaluate the incremental value of each behavioral and NLP feature block, we construct an ablation matrix across 7 distinct model configurations:</w:t>
        <w:br/>
        <w:t>• Model 1: Big Five Self-Report Baseline (Likert scale only)</w:t>
        <w:br/>
        <w:t>• Model 2: Self-Report + Situational Judgment Test (SJT)</w:t>
        <w:br/>
        <w:t>• Model 3: SJT Only (CTT Scoring)</w:t>
        <w:br/>
        <w:t>• Model 4: SJT + Response Latency Tracking</w:t>
        <w:br/>
        <w:t>• Model 5: SJT + Response Latency + Forced-Choice Consistency</w:t>
        <w:br/>
        <w:t>• Model 6: SJT + NLP Sentence Embeddings</w:t>
        <w:br/>
        <w:t>• Model 7: Full Hybrid Fused Model (Proposed Architecture)</w:t>
      </w:r>
    </w:p>
    <w:p>
      <w:pPr>
        <w:keepNext/>
        <w:spacing w:before="360" w:after="160"/>
      </w:pPr>
      <w:r>
        <w:rPr>
          <w:rFonts w:ascii="Times New Roman" w:hAnsi="Times New Roman"/>
          <w:b/>
          <w:color w:val="1E3A8A"/>
          <w:sz w:val="32"/>
        </w:rPr>
        <w:t>VII. RESULTS &amp; PERFORMANCE EVALUATION</w:t>
      </w:r>
    </w:p>
    <w:p>
      <w:pPr>
        <w:spacing w:after="120" w:line="276" w:lineRule="auto"/>
        <w:jc w:val="both"/>
      </w:pPr>
      <w:r>
        <w:rPr>
          <w:rFonts w:ascii="Times New Roman" w:hAnsi="Times New Roman"/>
          <w:color w:val="1E293B"/>
          <w:sz w:val="24"/>
        </w:rPr>
        <w:t>We evaluate all 7 models across trait point estimates, measurement error reduction, and faking resistance. Table III presents the master ablation matrix.</w:t>
      </w:r>
    </w:p>
    <w:p>
      <w:pPr>
        <w:keepNext/>
        <w:spacing w:before="240" w:after="120"/>
      </w:pPr>
      <w:r>
        <w:rPr>
          <w:rFonts w:ascii="Times New Roman" w:hAnsi="Times New Roman"/>
          <w:b/>
          <w:i/>
          <w:color w:val="0F172A"/>
          <w:sz w:val="28"/>
        </w:rPr>
        <w:t>A. Ablation Model Master Performance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3A8A"/>
            <w:tcMar>
              <w:top w:w="120" w:type="dxa"/>
              <w:bottom w:w="120" w:type="dxa"/>
              <w:left w:w="140" w:type="dxa"/>
              <w:right w:w="140" w:type="dxa"/>
            </w:tcMar>
          </w:tcPr>
          <w:p>
            <w:r>
              <w:rPr>
                <w:b/>
                <w:color w:val="FFFFFF"/>
                <w:sz w:val="20"/>
              </w:rPr>
              <w:t>Model Tag</w:t>
            </w:r>
          </w:p>
        </w:tc>
        <w:tc>
          <w:tcPr>
            <w:tcW w:type="dxa" w:w="2016"/>
            <w:shd w:fill="1E3A8A"/>
            <w:tcMar>
              <w:top w:w="120" w:type="dxa"/>
              <w:bottom w:w="120" w:type="dxa"/>
              <w:left w:w="140" w:type="dxa"/>
              <w:right w:w="140" w:type="dxa"/>
            </w:tcMar>
          </w:tcPr>
          <w:p>
            <w:r>
              <w:rPr>
                <w:b/>
                <w:color w:val="FFFFFF"/>
                <w:sz w:val="20"/>
              </w:rPr>
              <w:t>Composition / Feature Blocks</w:t>
            </w:r>
          </w:p>
        </w:tc>
        <w:tc>
          <w:tcPr>
            <w:tcW w:type="dxa" w:w="2016"/>
            <w:shd w:fill="1E3A8A"/>
            <w:tcMar>
              <w:top w:w="120" w:type="dxa"/>
              <w:bottom w:w="120" w:type="dxa"/>
              <w:left w:w="140" w:type="dxa"/>
              <w:right w:w="140" w:type="dxa"/>
            </w:tcMar>
          </w:tcPr>
          <w:p>
            <w:r>
              <w:rPr>
                <w:b/>
                <w:color w:val="FFFFFF"/>
                <w:sz w:val="20"/>
              </w:rPr>
              <w:t>Conscientiousness</w:t>
            </w:r>
          </w:p>
        </w:tc>
        <w:tc>
          <w:tcPr>
            <w:tcW w:type="dxa" w:w="2016"/>
            <w:shd w:fill="1E3A8A"/>
            <w:tcMar>
              <w:top w:w="120" w:type="dxa"/>
              <w:bottom w:w="120" w:type="dxa"/>
              <w:left w:w="140" w:type="dxa"/>
              <w:right w:w="140" w:type="dxa"/>
            </w:tcMar>
          </w:tcPr>
          <w:p>
            <w:r>
              <w:rPr>
                <w:b/>
                <w:color w:val="FFFFFF"/>
                <w:sz w:val="20"/>
              </w:rPr>
              <w:t>Emotional Stability</w:t>
            </w:r>
          </w:p>
        </w:tc>
        <w:tc>
          <w:tcPr>
            <w:tcW w:type="dxa" w:w="2016"/>
            <w:shd w:fill="1E3A8A"/>
            <w:tcMar>
              <w:top w:w="120" w:type="dxa"/>
              <w:bottom w:w="120" w:type="dxa"/>
              <w:left w:w="140" w:type="dxa"/>
              <w:right w:w="140" w:type="dxa"/>
            </w:tcMar>
          </w:tcPr>
          <w:p>
            <w:r>
              <w:rPr>
                <w:b/>
                <w:color w:val="FFFFFF"/>
                <w:sz w:val="20"/>
              </w:rPr>
              <w:t>Standard Error (SE)</w:t>
            </w:r>
          </w:p>
        </w:tc>
      </w:tr>
      <w:tr>
        <w:tc>
          <w:tcPr>
            <w:tcW w:type="dxa" w:w="2016"/>
            <w:shd w:fill="FFFFFF"/>
            <w:tcMar>
              <w:top w:w="100" w:type="dxa"/>
              <w:bottom w:w="100" w:type="dxa"/>
              <w:left w:w="120" w:type="dxa"/>
              <w:right w:w="120" w:type="dxa"/>
            </w:tcMar>
          </w:tcPr>
          <w:p>
            <w:r>
              <w:rPr>
                <w:sz w:val="20"/>
              </w:rPr>
              <w:t>Model 1</w:t>
            </w:r>
          </w:p>
        </w:tc>
        <w:tc>
          <w:tcPr>
            <w:tcW w:type="dxa" w:w="2016"/>
            <w:shd w:fill="FFFFFF"/>
            <w:tcMar>
              <w:top w:w="100" w:type="dxa"/>
              <w:bottom w:w="100" w:type="dxa"/>
              <w:left w:w="120" w:type="dxa"/>
              <w:right w:w="120" w:type="dxa"/>
            </w:tcMar>
          </w:tcPr>
          <w:p>
            <w:r>
              <w:rPr>
                <w:sz w:val="20"/>
              </w:rPr>
              <w:t>Big Five Self-Report Only</w:t>
            </w:r>
          </w:p>
        </w:tc>
        <w:tc>
          <w:tcPr>
            <w:tcW w:type="dxa" w:w="2016"/>
            <w:shd w:fill="FFFFFF"/>
            <w:tcMar>
              <w:top w:w="100" w:type="dxa"/>
              <w:bottom w:w="100" w:type="dxa"/>
              <w:left w:w="120" w:type="dxa"/>
              <w:right w:w="120" w:type="dxa"/>
            </w:tcMar>
          </w:tcPr>
          <w:p>
            <w:r>
              <w:rPr>
                <w:sz w:val="20"/>
              </w:rPr>
              <w:t>80.0%</w:t>
            </w:r>
          </w:p>
        </w:tc>
        <w:tc>
          <w:tcPr>
            <w:tcW w:type="dxa" w:w="2016"/>
            <w:shd w:fill="FFFFFF"/>
            <w:tcMar>
              <w:top w:w="100" w:type="dxa"/>
              <w:bottom w:w="100" w:type="dxa"/>
              <w:left w:w="120" w:type="dxa"/>
              <w:right w:w="120" w:type="dxa"/>
            </w:tcMar>
          </w:tcPr>
          <w:p>
            <w:r>
              <w:rPr>
                <w:sz w:val="20"/>
              </w:rPr>
              <w:t>70.0%</w:t>
            </w:r>
          </w:p>
        </w:tc>
        <w:tc>
          <w:tcPr>
            <w:tcW w:type="dxa" w:w="2016"/>
            <w:shd w:fill="FFFFFF"/>
            <w:tcMar>
              <w:top w:w="100" w:type="dxa"/>
              <w:bottom w:w="100" w:type="dxa"/>
              <w:left w:w="120" w:type="dxa"/>
              <w:right w:w="120" w:type="dxa"/>
            </w:tcMar>
          </w:tcPr>
          <w:p>
            <w:r>
              <w:rPr>
                <w:sz w:val="20"/>
              </w:rPr>
              <w:t>±18.0%</w:t>
            </w:r>
          </w:p>
        </w:tc>
      </w:tr>
      <w:tr>
        <w:tc>
          <w:tcPr>
            <w:tcW w:type="dxa" w:w="2016"/>
            <w:shd w:fill="F8FAFC"/>
            <w:tcMar>
              <w:top w:w="100" w:type="dxa"/>
              <w:bottom w:w="100" w:type="dxa"/>
              <w:left w:w="120" w:type="dxa"/>
              <w:right w:w="120" w:type="dxa"/>
            </w:tcMar>
          </w:tcPr>
          <w:p>
            <w:r>
              <w:rPr>
                <w:sz w:val="20"/>
              </w:rPr>
              <w:t>Model 2</w:t>
            </w:r>
          </w:p>
        </w:tc>
        <w:tc>
          <w:tcPr>
            <w:tcW w:type="dxa" w:w="2016"/>
            <w:shd w:fill="F8FAFC"/>
            <w:tcMar>
              <w:top w:w="100" w:type="dxa"/>
              <w:bottom w:w="100" w:type="dxa"/>
              <w:left w:w="120" w:type="dxa"/>
              <w:right w:w="120" w:type="dxa"/>
            </w:tcMar>
          </w:tcPr>
          <w:p>
            <w:r>
              <w:rPr>
                <w:sz w:val="20"/>
              </w:rPr>
              <w:t>Self-Report + SJT Blend</w:t>
            </w:r>
          </w:p>
        </w:tc>
        <w:tc>
          <w:tcPr>
            <w:tcW w:type="dxa" w:w="2016"/>
            <w:shd w:fill="F8FAFC"/>
            <w:tcMar>
              <w:top w:w="100" w:type="dxa"/>
              <w:bottom w:w="100" w:type="dxa"/>
              <w:left w:w="120" w:type="dxa"/>
              <w:right w:w="120" w:type="dxa"/>
            </w:tcMar>
          </w:tcPr>
          <w:p>
            <w:r>
              <w:rPr>
                <w:sz w:val="20"/>
              </w:rPr>
              <w:t>82.5%</w:t>
            </w:r>
          </w:p>
        </w:tc>
        <w:tc>
          <w:tcPr>
            <w:tcW w:type="dxa" w:w="2016"/>
            <w:shd w:fill="F8FAFC"/>
            <w:tcMar>
              <w:top w:w="100" w:type="dxa"/>
              <w:bottom w:w="100" w:type="dxa"/>
              <w:left w:w="120" w:type="dxa"/>
              <w:right w:w="120" w:type="dxa"/>
            </w:tcMar>
          </w:tcPr>
          <w:p>
            <w:r>
              <w:rPr>
                <w:sz w:val="20"/>
              </w:rPr>
              <w:t>72.5%</w:t>
            </w:r>
          </w:p>
        </w:tc>
        <w:tc>
          <w:tcPr>
            <w:tcW w:type="dxa" w:w="2016"/>
            <w:shd w:fill="F8FAFC"/>
            <w:tcMar>
              <w:top w:w="100" w:type="dxa"/>
              <w:bottom w:w="100" w:type="dxa"/>
              <w:left w:w="120" w:type="dxa"/>
              <w:right w:w="120" w:type="dxa"/>
            </w:tcMar>
          </w:tcPr>
          <w:p>
            <w:r>
              <w:rPr>
                <w:sz w:val="20"/>
              </w:rPr>
              <w:t>±14.2%</w:t>
            </w:r>
          </w:p>
        </w:tc>
      </w:tr>
      <w:tr>
        <w:tc>
          <w:tcPr>
            <w:tcW w:type="dxa" w:w="2016"/>
            <w:shd w:fill="FFFFFF"/>
            <w:tcMar>
              <w:top w:w="100" w:type="dxa"/>
              <w:bottom w:w="100" w:type="dxa"/>
              <w:left w:w="120" w:type="dxa"/>
              <w:right w:w="120" w:type="dxa"/>
            </w:tcMar>
          </w:tcPr>
          <w:p>
            <w:r>
              <w:rPr>
                <w:sz w:val="20"/>
              </w:rPr>
              <w:t>Model 3</w:t>
            </w:r>
          </w:p>
        </w:tc>
        <w:tc>
          <w:tcPr>
            <w:tcW w:type="dxa" w:w="2016"/>
            <w:shd w:fill="FFFFFF"/>
            <w:tcMar>
              <w:top w:w="100" w:type="dxa"/>
              <w:bottom w:w="100" w:type="dxa"/>
              <w:left w:w="120" w:type="dxa"/>
              <w:right w:w="120" w:type="dxa"/>
            </w:tcMar>
          </w:tcPr>
          <w:p>
            <w:r>
              <w:rPr>
                <w:sz w:val="20"/>
              </w:rPr>
              <w:t>SJT Only (CTT Baseline)</w:t>
            </w:r>
          </w:p>
        </w:tc>
        <w:tc>
          <w:tcPr>
            <w:tcW w:type="dxa" w:w="2016"/>
            <w:shd w:fill="FFFFFF"/>
            <w:tcMar>
              <w:top w:w="100" w:type="dxa"/>
              <w:bottom w:w="100" w:type="dxa"/>
              <w:left w:w="120" w:type="dxa"/>
              <w:right w:w="120" w:type="dxa"/>
            </w:tcMar>
          </w:tcPr>
          <w:p>
            <w:r>
              <w:rPr>
                <w:sz w:val="20"/>
              </w:rPr>
              <w:t>85.0%</w:t>
            </w:r>
          </w:p>
        </w:tc>
        <w:tc>
          <w:tcPr>
            <w:tcW w:type="dxa" w:w="2016"/>
            <w:shd w:fill="FFFFFF"/>
            <w:tcMar>
              <w:top w:w="100" w:type="dxa"/>
              <w:bottom w:w="100" w:type="dxa"/>
              <w:left w:w="120" w:type="dxa"/>
              <w:right w:w="120" w:type="dxa"/>
            </w:tcMar>
          </w:tcPr>
          <w:p>
            <w:r>
              <w:rPr>
                <w:sz w:val="20"/>
              </w:rPr>
              <w:t>75.0%</w:t>
            </w:r>
          </w:p>
        </w:tc>
        <w:tc>
          <w:tcPr>
            <w:tcW w:type="dxa" w:w="2016"/>
            <w:shd w:fill="FFFFFF"/>
            <w:tcMar>
              <w:top w:w="100" w:type="dxa"/>
              <w:bottom w:w="100" w:type="dxa"/>
              <w:left w:w="120" w:type="dxa"/>
              <w:right w:w="120" w:type="dxa"/>
            </w:tcMar>
          </w:tcPr>
          <w:p>
            <w:r>
              <w:rPr>
                <w:sz w:val="20"/>
              </w:rPr>
              <w:t>±12.0%</w:t>
            </w:r>
          </w:p>
        </w:tc>
      </w:tr>
      <w:tr>
        <w:tc>
          <w:tcPr>
            <w:tcW w:type="dxa" w:w="2016"/>
            <w:shd w:fill="F8FAFC"/>
            <w:tcMar>
              <w:top w:w="100" w:type="dxa"/>
              <w:bottom w:w="100" w:type="dxa"/>
              <w:left w:w="120" w:type="dxa"/>
              <w:right w:w="120" w:type="dxa"/>
            </w:tcMar>
          </w:tcPr>
          <w:p>
            <w:r>
              <w:rPr>
                <w:sz w:val="20"/>
              </w:rPr>
              <w:t>Model 4</w:t>
            </w:r>
          </w:p>
        </w:tc>
        <w:tc>
          <w:tcPr>
            <w:tcW w:type="dxa" w:w="2016"/>
            <w:shd w:fill="F8FAFC"/>
            <w:tcMar>
              <w:top w:w="100" w:type="dxa"/>
              <w:bottom w:w="100" w:type="dxa"/>
              <w:left w:w="120" w:type="dxa"/>
              <w:right w:w="120" w:type="dxa"/>
            </w:tcMar>
          </w:tcPr>
          <w:p>
            <w:r>
              <w:rPr>
                <w:sz w:val="20"/>
              </w:rPr>
              <w:t>SJT + Response Latency</w:t>
            </w:r>
          </w:p>
        </w:tc>
        <w:tc>
          <w:tcPr>
            <w:tcW w:type="dxa" w:w="2016"/>
            <w:shd w:fill="F8FAFC"/>
            <w:tcMar>
              <w:top w:w="100" w:type="dxa"/>
              <w:bottom w:w="100" w:type="dxa"/>
              <w:left w:w="120" w:type="dxa"/>
              <w:right w:w="120" w:type="dxa"/>
            </w:tcMar>
          </w:tcPr>
          <w:p>
            <w:r>
              <w:rPr>
                <w:sz w:val="20"/>
              </w:rPr>
              <w:t>87.0%</w:t>
            </w:r>
          </w:p>
        </w:tc>
        <w:tc>
          <w:tcPr>
            <w:tcW w:type="dxa" w:w="2016"/>
            <w:shd w:fill="F8FAFC"/>
            <w:tcMar>
              <w:top w:w="100" w:type="dxa"/>
              <w:bottom w:w="100" w:type="dxa"/>
              <w:left w:w="120" w:type="dxa"/>
              <w:right w:w="120" w:type="dxa"/>
            </w:tcMar>
          </w:tcPr>
          <w:p>
            <w:r>
              <w:rPr>
                <w:sz w:val="20"/>
              </w:rPr>
              <w:t>77.0%</w:t>
            </w:r>
          </w:p>
        </w:tc>
        <w:tc>
          <w:tcPr>
            <w:tcW w:type="dxa" w:w="2016"/>
            <w:shd w:fill="F8FAFC"/>
            <w:tcMar>
              <w:top w:w="100" w:type="dxa"/>
              <w:bottom w:w="100" w:type="dxa"/>
              <w:left w:w="120" w:type="dxa"/>
              <w:right w:w="120" w:type="dxa"/>
            </w:tcMar>
          </w:tcPr>
          <w:p>
            <w:r>
              <w:rPr>
                <w:sz w:val="20"/>
              </w:rPr>
              <w:t>±11.0%</w:t>
            </w:r>
          </w:p>
        </w:tc>
      </w:tr>
      <w:tr>
        <w:tc>
          <w:tcPr>
            <w:tcW w:type="dxa" w:w="2016"/>
            <w:shd w:fill="FFFFFF"/>
            <w:tcMar>
              <w:top w:w="100" w:type="dxa"/>
              <w:bottom w:w="100" w:type="dxa"/>
              <w:left w:w="120" w:type="dxa"/>
              <w:right w:w="120" w:type="dxa"/>
            </w:tcMar>
          </w:tcPr>
          <w:p>
            <w:r>
              <w:rPr>
                <w:sz w:val="20"/>
              </w:rPr>
              <w:t>Model 5</w:t>
            </w:r>
          </w:p>
        </w:tc>
        <w:tc>
          <w:tcPr>
            <w:tcW w:type="dxa" w:w="2016"/>
            <w:shd w:fill="FFFFFF"/>
            <w:tcMar>
              <w:top w:w="100" w:type="dxa"/>
              <w:bottom w:w="100" w:type="dxa"/>
              <w:left w:w="120" w:type="dxa"/>
              <w:right w:w="120" w:type="dxa"/>
            </w:tcMar>
          </w:tcPr>
          <w:p>
            <w:r>
              <w:rPr>
                <w:sz w:val="20"/>
              </w:rPr>
              <w:t>SJT + Latency + Forced-Choice</w:t>
            </w:r>
          </w:p>
        </w:tc>
        <w:tc>
          <w:tcPr>
            <w:tcW w:type="dxa" w:w="2016"/>
            <w:shd w:fill="FFFFFF"/>
            <w:tcMar>
              <w:top w:w="100" w:type="dxa"/>
              <w:bottom w:w="100" w:type="dxa"/>
              <w:left w:w="120" w:type="dxa"/>
              <w:right w:w="120" w:type="dxa"/>
            </w:tcMar>
          </w:tcPr>
          <w:p>
            <w:r>
              <w:rPr>
                <w:sz w:val="20"/>
              </w:rPr>
              <w:t>86.0%</w:t>
            </w:r>
          </w:p>
        </w:tc>
        <w:tc>
          <w:tcPr>
            <w:tcW w:type="dxa" w:w="2016"/>
            <w:shd w:fill="FFFFFF"/>
            <w:tcMar>
              <w:top w:w="100" w:type="dxa"/>
              <w:bottom w:w="100" w:type="dxa"/>
              <w:left w:w="120" w:type="dxa"/>
              <w:right w:w="120" w:type="dxa"/>
            </w:tcMar>
          </w:tcPr>
          <w:p>
            <w:r>
              <w:rPr>
                <w:sz w:val="20"/>
              </w:rPr>
              <w:t>76.0%</w:t>
            </w:r>
          </w:p>
        </w:tc>
        <w:tc>
          <w:tcPr>
            <w:tcW w:type="dxa" w:w="2016"/>
            <w:shd w:fill="FFFFFF"/>
            <w:tcMar>
              <w:top w:w="100" w:type="dxa"/>
              <w:bottom w:w="100" w:type="dxa"/>
              <w:left w:w="120" w:type="dxa"/>
              <w:right w:w="120" w:type="dxa"/>
            </w:tcMar>
          </w:tcPr>
          <w:p>
            <w:r>
              <w:rPr>
                <w:sz w:val="20"/>
              </w:rPr>
              <w:t>±10.0%</w:t>
            </w:r>
          </w:p>
        </w:tc>
      </w:tr>
      <w:tr>
        <w:tc>
          <w:tcPr>
            <w:tcW w:type="dxa" w:w="2016"/>
            <w:shd w:fill="F8FAFC"/>
            <w:tcMar>
              <w:top w:w="100" w:type="dxa"/>
              <w:bottom w:w="100" w:type="dxa"/>
              <w:left w:w="120" w:type="dxa"/>
              <w:right w:w="120" w:type="dxa"/>
            </w:tcMar>
          </w:tcPr>
          <w:p>
            <w:r>
              <w:rPr>
                <w:sz w:val="20"/>
              </w:rPr>
              <w:t>Model 6</w:t>
            </w:r>
          </w:p>
        </w:tc>
        <w:tc>
          <w:tcPr>
            <w:tcW w:type="dxa" w:w="2016"/>
            <w:shd w:fill="F8FAFC"/>
            <w:tcMar>
              <w:top w:w="100" w:type="dxa"/>
              <w:bottom w:w="100" w:type="dxa"/>
              <w:left w:w="120" w:type="dxa"/>
              <w:right w:w="120" w:type="dxa"/>
            </w:tcMar>
          </w:tcPr>
          <w:p>
            <w:r>
              <w:rPr>
                <w:sz w:val="20"/>
              </w:rPr>
              <w:t>SJT + NLP Embeddings</w:t>
            </w:r>
          </w:p>
        </w:tc>
        <w:tc>
          <w:tcPr>
            <w:tcW w:type="dxa" w:w="2016"/>
            <w:shd w:fill="F8FAFC"/>
            <w:tcMar>
              <w:top w:w="100" w:type="dxa"/>
              <w:bottom w:w="100" w:type="dxa"/>
              <w:left w:w="120" w:type="dxa"/>
              <w:right w:w="120" w:type="dxa"/>
            </w:tcMar>
          </w:tcPr>
          <w:p>
            <w:r>
              <w:rPr>
                <w:sz w:val="20"/>
              </w:rPr>
              <w:t>88.2%</w:t>
            </w:r>
          </w:p>
        </w:tc>
        <w:tc>
          <w:tcPr>
            <w:tcW w:type="dxa" w:w="2016"/>
            <w:shd w:fill="F8FAFC"/>
            <w:tcMar>
              <w:top w:w="100" w:type="dxa"/>
              <w:bottom w:w="100" w:type="dxa"/>
              <w:left w:w="120" w:type="dxa"/>
              <w:right w:w="120" w:type="dxa"/>
            </w:tcMar>
          </w:tcPr>
          <w:p>
            <w:r>
              <w:rPr>
                <w:sz w:val="20"/>
              </w:rPr>
              <w:t>78.5%</w:t>
            </w:r>
          </w:p>
        </w:tc>
        <w:tc>
          <w:tcPr>
            <w:tcW w:type="dxa" w:w="2016"/>
            <w:shd w:fill="F8FAFC"/>
            <w:tcMar>
              <w:top w:w="100" w:type="dxa"/>
              <w:bottom w:w="100" w:type="dxa"/>
              <w:left w:w="120" w:type="dxa"/>
              <w:right w:w="120" w:type="dxa"/>
            </w:tcMar>
          </w:tcPr>
          <w:p>
            <w:r>
              <w:rPr>
                <w:sz w:val="20"/>
              </w:rPr>
              <w:t>±10.5%</w:t>
            </w:r>
          </w:p>
        </w:tc>
      </w:tr>
      <w:tr>
        <w:tc>
          <w:tcPr>
            <w:tcW w:type="dxa" w:w="2016"/>
            <w:shd w:fill="DCFCE7"/>
            <w:tcMar>
              <w:top w:w="100" w:type="dxa"/>
              <w:bottom w:w="100" w:type="dxa"/>
              <w:left w:w="120" w:type="dxa"/>
              <w:right w:w="120" w:type="dxa"/>
            </w:tcMar>
          </w:tcPr>
          <w:p>
            <w:r>
              <w:rPr>
                <w:b/>
                <w:sz w:val="20"/>
              </w:rPr>
              <w:t>Model 7 (Proposed)</w:t>
            </w:r>
          </w:p>
        </w:tc>
        <w:tc>
          <w:tcPr>
            <w:tcW w:type="dxa" w:w="2016"/>
            <w:shd w:fill="DCFCE7"/>
            <w:tcMar>
              <w:top w:w="100" w:type="dxa"/>
              <w:bottom w:w="100" w:type="dxa"/>
              <w:left w:w="120" w:type="dxa"/>
              <w:right w:w="120" w:type="dxa"/>
            </w:tcMar>
          </w:tcPr>
          <w:p>
            <w:r>
              <w:rPr>
                <w:b/>
                <w:sz w:val="20"/>
              </w:rPr>
              <w:t>Full Fused Hybrid Architecture</w:t>
            </w:r>
          </w:p>
        </w:tc>
        <w:tc>
          <w:tcPr>
            <w:tcW w:type="dxa" w:w="2016"/>
            <w:shd w:fill="DCFCE7"/>
            <w:tcMar>
              <w:top w:w="100" w:type="dxa"/>
              <w:bottom w:w="100" w:type="dxa"/>
              <w:left w:w="120" w:type="dxa"/>
              <w:right w:w="120" w:type="dxa"/>
            </w:tcMar>
          </w:tcPr>
          <w:p>
            <w:r>
              <w:rPr>
                <w:b/>
                <w:sz w:val="20"/>
              </w:rPr>
              <w:t>84.8%</w:t>
            </w:r>
          </w:p>
        </w:tc>
        <w:tc>
          <w:tcPr>
            <w:tcW w:type="dxa" w:w="2016"/>
            <w:shd w:fill="DCFCE7"/>
            <w:tcMar>
              <w:top w:w="100" w:type="dxa"/>
              <w:bottom w:w="100" w:type="dxa"/>
              <w:left w:w="120" w:type="dxa"/>
              <w:right w:w="120" w:type="dxa"/>
            </w:tcMar>
          </w:tcPr>
          <w:p>
            <w:r>
              <w:rPr>
                <w:b/>
                <w:sz w:val="20"/>
              </w:rPr>
              <w:t>75.2%</w:t>
            </w:r>
          </w:p>
        </w:tc>
        <w:tc>
          <w:tcPr>
            <w:tcW w:type="dxa" w:w="2016"/>
            <w:shd w:fill="DCFCE7"/>
            <w:tcMar>
              <w:top w:w="100" w:type="dxa"/>
              <w:bottom w:w="100" w:type="dxa"/>
              <w:left w:w="120" w:type="dxa"/>
              <w:right w:w="120" w:type="dxa"/>
            </w:tcMar>
          </w:tcPr>
          <w:p>
            <w:r>
              <w:rPr>
                <w:b/>
                <w:sz w:val="20"/>
              </w:rPr>
              <w:t>±3.5%</w:t>
            </w:r>
          </w:p>
        </w:tc>
      </w:tr>
    </w:tbl>
    <w:p>
      <w:pPr>
        <w:spacing w:after="120"/>
      </w:pPr>
    </w:p>
    <w:p>
      <w:pPr>
        <w:spacing w:after="120" w:line="276" w:lineRule="auto"/>
        <w:jc w:val="both"/>
      </w:pPr>
      <w:r>
        <w:rPr>
          <w:rFonts w:ascii="Times New Roman" w:hAnsi="Times New Roman"/>
          <w:color w:val="1E293B"/>
          <w:sz w:val="24"/>
        </w:rPr>
        <w:t>As shown in Table III, Model 7 achieves significant measurement error reduction, lowering standard error (SE) from ±18.0% in self-report baseline down to ±3.5% in the fused hybrid model. Table IV details occupational fit evaluations across default O*NET seed roles.</w:t>
      </w:r>
    </w:p>
    <w:p>
      <w:pPr>
        <w:keepNext/>
        <w:spacing w:before="240" w:after="120"/>
      </w:pPr>
      <w:r>
        <w:rPr>
          <w:rFonts w:ascii="Times New Roman" w:hAnsi="Times New Roman"/>
          <w:b/>
          <w:i/>
          <w:color w:val="0F172A"/>
          <w:sz w:val="28"/>
        </w:rPr>
        <w:t>B. O*NET Occupational Fit Evaluation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20" w:type="dxa"/>
              <w:bottom w:w="120" w:type="dxa"/>
              <w:left w:w="140" w:type="dxa"/>
              <w:right w:w="140" w:type="dxa"/>
            </w:tcMar>
          </w:tcPr>
          <w:p>
            <w:r>
              <w:rPr>
                <w:b/>
                <w:color w:val="FFFFFF"/>
                <w:sz w:val="20"/>
              </w:rPr>
              <w:t>O*NET Target Role</w:t>
            </w:r>
          </w:p>
        </w:tc>
        <w:tc>
          <w:tcPr>
            <w:tcW w:type="dxa" w:w="2520"/>
            <w:shd w:fill="1E3A8A"/>
            <w:tcMar>
              <w:top w:w="120" w:type="dxa"/>
              <w:bottom w:w="120" w:type="dxa"/>
              <w:left w:w="140" w:type="dxa"/>
              <w:right w:w="140" w:type="dxa"/>
            </w:tcMar>
          </w:tcPr>
          <w:p>
            <w:r>
              <w:rPr>
                <w:b/>
                <w:color w:val="FFFFFF"/>
                <w:sz w:val="20"/>
              </w:rPr>
              <w:t>Overall Fit Score</w:t>
            </w:r>
          </w:p>
        </w:tc>
        <w:tc>
          <w:tcPr>
            <w:tcW w:type="dxa" w:w="2520"/>
            <w:shd w:fill="1E3A8A"/>
            <w:tcMar>
              <w:top w:w="120" w:type="dxa"/>
              <w:bottom w:w="120" w:type="dxa"/>
              <w:left w:w="140" w:type="dxa"/>
              <w:right w:w="140" w:type="dxa"/>
            </w:tcMar>
          </w:tcPr>
          <w:p>
            <w:r>
              <w:rPr>
                <w:b/>
                <w:color w:val="FFFFFF"/>
                <w:sz w:val="20"/>
              </w:rPr>
              <w:t>95% Confidence Interval Band</w:t>
            </w:r>
          </w:p>
        </w:tc>
        <w:tc>
          <w:tcPr>
            <w:tcW w:type="dxa" w:w="2520"/>
            <w:shd w:fill="1E3A8A"/>
            <w:tcMar>
              <w:top w:w="120" w:type="dxa"/>
              <w:bottom w:w="120" w:type="dxa"/>
              <w:left w:w="140" w:type="dxa"/>
              <w:right w:w="140" w:type="dxa"/>
            </w:tcMar>
          </w:tcPr>
          <w:p>
            <w:r>
              <w:rPr>
                <w:b/>
                <w:color w:val="FFFFFF"/>
                <w:sz w:val="20"/>
              </w:rPr>
              <w:t>Flagged Low-Evidence Traits</w:t>
            </w:r>
          </w:p>
        </w:tc>
      </w:tr>
      <w:tr>
        <w:tc>
          <w:tcPr>
            <w:tcW w:type="dxa" w:w="2520"/>
            <w:shd w:fill="FFFFFF"/>
            <w:tcMar>
              <w:top w:w="100" w:type="dxa"/>
              <w:bottom w:w="100" w:type="dxa"/>
              <w:left w:w="120" w:type="dxa"/>
              <w:right w:w="120" w:type="dxa"/>
            </w:tcMar>
          </w:tcPr>
          <w:p>
            <w:r>
              <w:rPr>
                <w:sz w:val="20"/>
              </w:rPr>
              <w:t>Software Engineer (15-1252.00)</w:t>
            </w:r>
          </w:p>
        </w:tc>
        <w:tc>
          <w:tcPr>
            <w:tcW w:type="dxa" w:w="2520"/>
            <w:shd w:fill="FFFFFF"/>
            <w:tcMar>
              <w:top w:w="100" w:type="dxa"/>
              <w:bottom w:w="100" w:type="dxa"/>
              <w:left w:w="120" w:type="dxa"/>
              <w:right w:w="120" w:type="dxa"/>
            </w:tcMar>
          </w:tcPr>
          <w:p>
            <w:r>
              <w:rPr>
                <w:sz w:val="20"/>
              </w:rPr>
              <w:t>94.2%</w:t>
            </w:r>
          </w:p>
        </w:tc>
        <w:tc>
          <w:tcPr>
            <w:tcW w:type="dxa" w:w="2520"/>
            <w:shd w:fill="FFFFFF"/>
            <w:tcMar>
              <w:top w:w="100" w:type="dxa"/>
              <w:bottom w:w="100" w:type="dxa"/>
              <w:left w:w="120" w:type="dxa"/>
              <w:right w:w="120" w:type="dxa"/>
            </w:tcMar>
          </w:tcPr>
          <w:p>
            <w:r>
              <w:rPr>
                <w:sz w:val="20"/>
              </w:rPr>
              <w:t>[90.8% - 97.6%]</w:t>
            </w:r>
          </w:p>
        </w:tc>
        <w:tc>
          <w:tcPr>
            <w:tcW w:type="dxa" w:w="2520"/>
            <w:shd w:fill="FFFFFF"/>
            <w:tcMar>
              <w:top w:w="100" w:type="dxa"/>
              <w:bottom w:w="100" w:type="dxa"/>
              <w:left w:w="120" w:type="dxa"/>
              <w:right w:w="120" w:type="dxa"/>
            </w:tcMar>
          </w:tcPr>
          <w:p>
            <w:r>
              <w:rPr>
                <w:sz w:val="20"/>
              </w:rPr>
              <w:t>None (All SE ≤ 0.15)</w:t>
            </w:r>
          </w:p>
        </w:tc>
      </w:tr>
      <w:tr>
        <w:tc>
          <w:tcPr>
            <w:tcW w:type="dxa" w:w="2520"/>
            <w:shd w:fill="F8FAFC"/>
            <w:tcMar>
              <w:top w:w="100" w:type="dxa"/>
              <w:bottom w:w="100" w:type="dxa"/>
              <w:left w:w="120" w:type="dxa"/>
              <w:right w:w="120" w:type="dxa"/>
            </w:tcMar>
          </w:tcPr>
          <w:p>
            <w:r>
              <w:rPr>
                <w:sz w:val="20"/>
              </w:rPr>
              <w:t>Data Analyst (15-2051.00)</w:t>
            </w:r>
          </w:p>
        </w:tc>
        <w:tc>
          <w:tcPr>
            <w:tcW w:type="dxa" w:w="2520"/>
            <w:shd w:fill="F8FAFC"/>
            <w:tcMar>
              <w:top w:w="100" w:type="dxa"/>
              <w:bottom w:w="100" w:type="dxa"/>
              <w:left w:w="120" w:type="dxa"/>
              <w:right w:w="120" w:type="dxa"/>
            </w:tcMar>
          </w:tcPr>
          <w:p>
            <w:r>
              <w:rPr>
                <w:sz w:val="20"/>
              </w:rPr>
              <w:t>91.8%</w:t>
            </w:r>
          </w:p>
        </w:tc>
        <w:tc>
          <w:tcPr>
            <w:tcW w:type="dxa" w:w="2520"/>
            <w:shd w:fill="F8FAFC"/>
            <w:tcMar>
              <w:top w:w="100" w:type="dxa"/>
              <w:bottom w:w="100" w:type="dxa"/>
              <w:left w:w="120" w:type="dxa"/>
              <w:right w:w="120" w:type="dxa"/>
            </w:tcMar>
          </w:tcPr>
          <w:p>
            <w:r>
              <w:rPr>
                <w:sz w:val="20"/>
              </w:rPr>
              <w:t>[87.5% - 96.1%]</w:t>
            </w:r>
          </w:p>
        </w:tc>
        <w:tc>
          <w:tcPr>
            <w:tcW w:type="dxa" w:w="2520"/>
            <w:shd w:fill="F8FAFC"/>
            <w:tcMar>
              <w:top w:w="100" w:type="dxa"/>
              <w:bottom w:w="100" w:type="dxa"/>
              <w:left w:w="120" w:type="dxa"/>
              <w:right w:w="120" w:type="dxa"/>
            </w:tcMar>
          </w:tcPr>
          <w:p>
            <w:r>
              <w:rPr>
                <w:sz w:val="20"/>
              </w:rPr>
              <w:t>Agreeableness (SE = 0.18)</w:t>
            </w:r>
          </w:p>
        </w:tc>
      </w:tr>
      <w:tr>
        <w:tc>
          <w:tcPr>
            <w:tcW w:type="dxa" w:w="2520"/>
            <w:shd w:fill="FFFFFF"/>
            <w:tcMar>
              <w:top w:w="100" w:type="dxa"/>
              <w:bottom w:w="100" w:type="dxa"/>
              <w:left w:w="120" w:type="dxa"/>
              <w:right w:w="120" w:type="dxa"/>
            </w:tcMar>
          </w:tcPr>
          <w:p>
            <w:r>
              <w:rPr>
                <w:sz w:val="20"/>
              </w:rPr>
              <w:t>Project Manager (11-9199.00)</w:t>
            </w:r>
          </w:p>
        </w:tc>
        <w:tc>
          <w:tcPr>
            <w:tcW w:type="dxa" w:w="2520"/>
            <w:shd w:fill="FFFFFF"/>
            <w:tcMar>
              <w:top w:w="100" w:type="dxa"/>
              <w:bottom w:w="100" w:type="dxa"/>
              <w:left w:w="120" w:type="dxa"/>
              <w:right w:w="120" w:type="dxa"/>
            </w:tcMar>
          </w:tcPr>
          <w:p>
            <w:r>
              <w:rPr>
                <w:sz w:val="20"/>
              </w:rPr>
              <w:t>85.4%</w:t>
            </w:r>
          </w:p>
        </w:tc>
        <w:tc>
          <w:tcPr>
            <w:tcW w:type="dxa" w:w="2520"/>
            <w:shd w:fill="FFFFFF"/>
            <w:tcMar>
              <w:top w:w="100" w:type="dxa"/>
              <w:bottom w:w="100" w:type="dxa"/>
              <w:left w:w="120" w:type="dxa"/>
              <w:right w:w="120" w:type="dxa"/>
            </w:tcMar>
          </w:tcPr>
          <w:p>
            <w:r>
              <w:rPr>
                <w:sz w:val="20"/>
              </w:rPr>
              <w:t>[80.2% - 90.6%]</w:t>
            </w:r>
          </w:p>
        </w:tc>
        <w:tc>
          <w:tcPr>
            <w:tcW w:type="dxa" w:w="2520"/>
            <w:shd w:fill="FFFFFF"/>
            <w:tcMar>
              <w:top w:w="100" w:type="dxa"/>
              <w:bottom w:w="100" w:type="dxa"/>
              <w:left w:w="120" w:type="dxa"/>
              <w:right w:w="120" w:type="dxa"/>
            </w:tcMar>
          </w:tcPr>
          <w:p>
            <w:r>
              <w:rPr>
                <w:sz w:val="20"/>
              </w:rPr>
              <w:t>None (All SE ≤ 0.15)</w:t>
            </w:r>
          </w:p>
        </w:tc>
      </w:tr>
    </w:tbl>
    <w:p>
      <w:pPr>
        <w:spacing w:after="120"/>
      </w:pPr>
    </w:p>
    <w:p>
      <w:pPr>
        <w:keepNext/>
        <w:spacing w:before="360" w:after="160"/>
      </w:pPr>
      <w:r>
        <w:rPr>
          <w:rFonts w:ascii="Times New Roman" w:hAnsi="Times New Roman"/>
          <w:b/>
          <w:color w:val="1E3A8A"/>
          <w:sz w:val="32"/>
        </w:rPr>
        <w:t>VIII. ANTI-GAMING TEST HARNESS &amp; FAKING ROBUSTNESS</w:t>
      </w:r>
    </w:p>
    <w:p>
      <w:pPr>
        <w:spacing w:after="120" w:line="276" w:lineRule="auto"/>
        <w:jc w:val="both"/>
      </w:pPr>
      <w:r>
        <w:rPr>
          <w:rFonts w:ascii="Times New Roman" w:hAnsi="Times New Roman"/>
          <w:color w:val="1E293B"/>
          <w:sz w:val="24"/>
        </w:rPr>
        <w:t xml:space="preserve">To test resistance to socially desirable responding, we deploy an offline synthetic instructed-fake-good test harness calibrated against the published dark-triad meta-analytic benchmark </w:t>
      </w:r>
      <w:r>
        <w:rPr>
          <w:rFonts w:ascii="Times New Roman" w:hAnsi="Times New Roman"/>
          <w:b/>
          <w:color w:val="1E3A8A"/>
          <w:sz w:val="24"/>
          <w:vertAlign w:val="superscript"/>
        </w:rPr>
        <w:t>[2]</w:t>
      </w:r>
      <w:r>
        <w:rPr>
          <w:rFonts w:ascii="Times New Roman" w:hAnsi="Times New Roman"/>
          <w:color w:val="1E293B"/>
          <w:sz w:val="24"/>
        </w:rPr>
        <w:t xml:space="preserve">, </w:t>
      </w:r>
      <w:r>
        <w:rPr>
          <w:rFonts w:ascii="Times New Roman" w:hAnsi="Times New Roman"/>
          <w:b/>
          <w:color w:val="1E3A8A"/>
          <w:sz w:val="24"/>
          <w:vertAlign w:val="superscript"/>
        </w:rPr>
        <w:t>[7]</w:t>
      </w:r>
      <w:r>
        <w:rPr>
          <w:rFonts w:ascii="Times New Roman" w:hAnsi="Times New Roman"/>
          <w:color w:val="1E293B"/>
          <w:sz w:val="24"/>
        </w:rPr>
        <w:t xml:space="preserve">, </w:t>
      </w:r>
      <w:r>
        <w:rPr>
          <w:rFonts w:ascii="Times New Roman" w:hAnsi="Times New Roman"/>
          <w:b/>
          <w:color w:val="1E3A8A"/>
          <w:sz w:val="24"/>
          <w:vertAlign w:val="superscript"/>
        </w:rPr>
        <w:t>[9]</w:t>
      </w:r>
      <w:r>
        <w:rPr>
          <w:rFonts w:ascii="Times New Roman" w:hAnsi="Times New Roman"/>
          <w:color w:val="1E293B"/>
          <w:sz w:val="24"/>
        </w:rPr>
        <w:t>, applying trait-specific inflation vectors (δ = 1.27 for Conscientiousness, δ = 0.85 for Emotional Stability, δ = 0.65 for Agreeableness). Under synthetic perturbation, Model 1 (Self-Report) exhibits an average score shift of +28.5% (Low Resistance). In contrast, Model 7 (Full Fused) exhibits a mean score shift of only +6.2% (High Resistance), representing a 78.2% reduction in faking inflation.</w:t>
      </w:r>
    </w:p>
    <w:p>
      <w:pPr>
        <w:keepNext/>
        <w:spacing w:before="360" w:after="160"/>
      </w:pPr>
      <w:r>
        <w:rPr>
          <w:rFonts w:ascii="Times New Roman" w:hAnsi="Times New Roman"/>
          <w:b/>
          <w:color w:val="1E3A8A"/>
          <w:sz w:val="32"/>
        </w:rPr>
        <w:t>IX. FAIRNESS AUDIT GATE ANALYSIS</w:t>
      </w:r>
    </w:p>
    <w:p>
      <w:pPr>
        <w:spacing w:after="120" w:line="276" w:lineRule="auto"/>
        <w:jc w:val="both"/>
      </w:pPr>
      <w:r>
        <w:rPr>
          <w:rFonts w:ascii="Times New Roman" w:hAnsi="Times New Roman"/>
          <w:color w:val="1E293B"/>
          <w:sz w:val="24"/>
        </w:rPr>
        <w:t>To prevent algorithmic discrimination in occupational matching, Mapan incorporates a standalone Fairness Audit Gate. The module evaluates demographic parity and fit score error-rate gaps across Age, Gender, and Regional subgroups against a strict threshold (≤ 5.0% gap). Table V details subgroup audit evaluation results.</w:t>
      </w:r>
    </w:p>
    <w:p>
      <w:pPr>
        <w:keepNext/>
        <w:spacing w:before="240" w:after="120"/>
      </w:pPr>
      <w:r>
        <w:rPr>
          <w:rFonts w:ascii="Times New Roman" w:hAnsi="Times New Roman"/>
          <w:b/>
          <w:i/>
          <w:color w:val="0F172A"/>
          <w:sz w:val="28"/>
        </w:rPr>
        <w:t>A. Subgroup Demographic Audit Results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120" w:type="dxa"/>
              <w:bottom w:w="120" w:type="dxa"/>
              <w:left w:w="140" w:type="dxa"/>
              <w:right w:w="140" w:type="dxa"/>
            </w:tcMar>
          </w:tcPr>
          <w:p>
            <w:r>
              <w:rPr>
                <w:b/>
                <w:color w:val="FFFFFF"/>
                <w:sz w:val="20"/>
              </w:rPr>
              <w:t>Demographic Subgroup</w:t>
            </w:r>
          </w:p>
        </w:tc>
        <w:tc>
          <w:tcPr>
            <w:tcW w:type="dxa" w:w="2520"/>
            <w:shd w:fill="1E3A8A"/>
            <w:tcMar>
              <w:top w:w="120" w:type="dxa"/>
              <w:bottom w:w="120" w:type="dxa"/>
              <w:left w:w="140" w:type="dxa"/>
              <w:right w:w="140" w:type="dxa"/>
            </w:tcMar>
          </w:tcPr>
          <w:p>
            <w:r>
              <w:rPr>
                <w:b/>
                <w:color w:val="FFFFFF"/>
                <w:sz w:val="20"/>
              </w:rPr>
              <w:t>Maximum Fit Score Gap</w:t>
            </w:r>
          </w:p>
        </w:tc>
        <w:tc>
          <w:tcPr>
            <w:tcW w:type="dxa" w:w="2520"/>
            <w:shd w:fill="1E3A8A"/>
            <w:tcMar>
              <w:top w:w="120" w:type="dxa"/>
              <w:bottom w:w="120" w:type="dxa"/>
              <w:left w:w="140" w:type="dxa"/>
              <w:right w:w="140" w:type="dxa"/>
            </w:tcMar>
          </w:tcPr>
          <w:p>
            <w:r>
              <w:rPr>
                <w:b/>
                <w:color w:val="FFFFFF"/>
                <w:sz w:val="20"/>
              </w:rPr>
              <w:t>Allowable Threshold</w:t>
            </w:r>
          </w:p>
        </w:tc>
        <w:tc>
          <w:tcPr>
            <w:tcW w:type="dxa" w:w="2520"/>
            <w:shd w:fill="1E3A8A"/>
            <w:tcMar>
              <w:top w:w="120" w:type="dxa"/>
              <w:bottom w:w="120" w:type="dxa"/>
              <w:left w:w="140" w:type="dxa"/>
              <w:right w:w="140" w:type="dxa"/>
            </w:tcMar>
          </w:tcPr>
          <w:p>
            <w:r>
              <w:rPr>
                <w:b/>
                <w:color w:val="FFFFFF"/>
                <w:sz w:val="20"/>
              </w:rPr>
              <w:t>Fairness Audit Status</w:t>
            </w:r>
          </w:p>
        </w:tc>
      </w:tr>
      <w:tr>
        <w:tc>
          <w:tcPr>
            <w:tcW w:type="dxa" w:w="2520"/>
            <w:shd w:fill="FFFFFF"/>
            <w:tcMar>
              <w:top w:w="100" w:type="dxa"/>
              <w:bottom w:w="100" w:type="dxa"/>
              <w:left w:w="120" w:type="dxa"/>
              <w:right w:w="120" w:type="dxa"/>
            </w:tcMar>
          </w:tcPr>
          <w:p>
            <w:r>
              <w:rPr>
                <w:sz w:val="20"/>
              </w:rPr>
              <w:t>Gender (Male / Female / Non-Binary)</w:t>
            </w:r>
          </w:p>
        </w:tc>
        <w:tc>
          <w:tcPr>
            <w:tcW w:type="dxa" w:w="2520"/>
            <w:shd w:fill="FFFFFF"/>
            <w:tcMar>
              <w:top w:w="100" w:type="dxa"/>
              <w:bottom w:w="100" w:type="dxa"/>
              <w:left w:w="120" w:type="dxa"/>
              <w:right w:w="120" w:type="dxa"/>
            </w:tcMar>
          </w:tcPr>
          <w:p>
            <w:r>
              <w:rPr>
                <w:sz w:val="20"/>
              </w:rPr>
              <w:t>1.8%</w:t>
            </w:r>
          </w:p>
        </w:tc>
        <w:tc>
          <w:tcPr>
            <w:tcW w:type="dxa" w:w="2520"/>
            <w:shd w:fill="FFFFFF"/>
            <w:tcMar>
              <w:top w:w="100" w:type="dxa"/>
              <w:bottom w:w="100" w:type="dxa"/>
              <w:left w:w="120" w:type="dxa"/>
              <w:right w:w="120" w:type="dxa"/>
            </w:tcMar>
          </w:tcPr>
          <w:p>
            <w:r>
              <w:rPr>
                <w:sz w:val="20"/>
              </w:rPr>
              <w:t>≤ 5.0%</w:t>
            </w:r>
          </w:p>
        </w:tc>
        <w:tc>
          <w:tcPr>
            <w:tcW w:type="dxa" w:w="2520"/>
            <w:shd w:fill="FFFFFF"/>
            <w:tcMar>
              <w:top w:w="100" w:type="dxa"/>
              <w:bottom w:w="100" w:type="dxa"/>
              <w:left w:w="120" w:type="dxa"/>
              <w:right w:w="120" w:type="dxa"/>
            </w:tcMar>
          </w:tcPr>
          <w:p>
            <w:r>
              <w:rPr>
                <w:b/>
                <w:color w:val="10B981"/>
                <w:sz w:val="20"/>
              </w:rPr>
              <w:t>PASSED (Clean)</w:t>
            </w:r>
          </w:p>
        </w:tc>
      </w:tr>
      <w:tr>
        <w:tc>
          <w:tcPr>
            <w:tcW w:type="dxa" w:w="2520"/>
            <w:shd w:fill="F8FAFC"/>
            <w:tcMar>
              <w:top w:w="100" w:type="dxa"/>
              <w:bottom w:w="100" w:type="dxa"/>
              <w:left w:w="120" w:type="dxa"/>
              <w:right w:w="120" w:type="dxa"/>
            </w:tcMar>
          </w:tcPr>
          <w:p>
            <w:r>
              <w:rPr>
                <w:sz w:val="20"/>
              </w:rPr>
              <w:t>Age Bracket (&lt;25 / 25-34 / 35+)</w:t>
            </w:r>
          </w:p>
        </w:tc>
        <w:tc>
          <w:tcPr>
            <w:tcW w:type="dxa" w:w="2520"/>
            <w:shd w:fill="F8FAFC"/>
            <w:tcMar>
              <w:top w:w="100" w:type="dxa"/>
              <w:bottom w:w="100" w:type="dxa"/>
              <w:left w:w="120" w:type="dxa"/>
              <w:right w:w="120" w:type="dxa"/>
            </w:tcMar>
          </w:tcPr>
          <w:p>
            <w:r>
              <w:rPr>
                <w:sz w:val="20"/>
              </w:rPr>
              <w:t>2.1%</w:t>
            </w:r>
          </w:p>
        </w:tc>
        <w:tc>
          <w:tcPr>
            <w:tcW w:type="dxa" w:w="2520"/>
            <w:shd w:fill="F8FAFC"/>
            <w:tcMar>
              <w:top w:w="100" w:type="dxa"/>
              <w:bottom w:w="100" w:type="dxa"/>
              <w:left w:w="120" w:type="dxa"/>
              <w:right w:w="120" w:type="dxa"/>
            </w:tcMar>
          </w:tcPr>
          <w:p>
            <w:r>
              <w:rPr>
                <w:sz w:val="20"/>
              </w:rPr>
              <w:t>≤ 5.0%</w:t>
            </w:r>
          </w:p>
        </w:tc>
        <w:tc>
          <w:tcPr>
            <w:tcW w:type="dxa" w:w="2520"/>
            <w:shd w:fill="F8FAFC"/>
            <w:tcMar>
              <w:top w:w="100" w:type="dxa"/>
              <w:bottom w:w="100" w:type="dxa"/>
              <w:left w:w="120" w:type="dxa"/>
              <w:right w:w="120" w:type="dxa"/>
            </w:tcMar>
          </w:tcPr>
          <w:p>
            <w:r>
              <w:rPr>
                <w:b/>
                <w:color w:val="10B981"/>
                <w:sz w:val="20"/>
              </w:rPr>
              <w:t>PASSED (Clean)</w:t>
            </w:r>
          </w:p>
        </w:tc>
      </w:tr>
      <w:tr>
        <w:tc>
          <w:tcPr>
            <w:tcW w:type="dxa" w:w="2520"/>
            <w:shd w:fill="FFFFFF"/>
            <w:tcMar>
              <w:top w:w="100" w:type="dxa"/>
              <w:bottom w:w="100" w:type="dxa"/>
              <w:left w:w="120" w:type="dxa"/>
              <w:right w:w="120" w:type="dxa"/>
            </w:tcMar>
          </w:tcPr>
          <w:p>
            <w:r>
              <w:rPr>
                <w:sz w:val="20"/>
              </w:rPr>
              <w:t>Regional Origin (North / South / East / West)</w:t>
            </w:r>
          </w:p>
        </w:tc>
        <w:tc>
          <w:tcPr>
            <w:tcW w:type="dxa" w:w="2520"/>
            <w:shd w:fill="FFFFFF"/>
            <w:tcMar>
              <w:top w:w="100" w:type="dxa"/>
              <w:bottom w:w="100" w:type="dxa"/>
              <w:left w:w="120" w:type="dxa"/>
              <w:right w:w="120" w:type="dxa"/>
            </w:tcMar>
          </w:tcPr>
          <w:p>
            <w:r>
              <w:rPr>
                <w:sz w:val="20"/>
              </w:rPr>
              <w:t>0.9%</w:t>
            </w:r>
          </w:p>
        </w:tc>
        <w:tc>
          <w:tcPr>
            <w:tcW w:type="dxa" w:w="2520"/>
            <w:shd w:fill="FFFFFF"/>
            <w:tcMar>
              <w:top w:w="100" w:type="dxa"/>
              <w:bottom w:w="100" w:type="dxa"/>
              <w:left w:w="120" w:type="dxa"/>
              <w:right w:w="120" w:type="dxa"/>
            </w:tcMar>
          </w:tcPr>
          <w:p>
            <w:r>
              <w:rPr>
                <w:sz w:val="20"/>
              </w:rPr>
              <w:t>≤ 5.0%</w:t>
            </w:r>
          </w:p>
        </w:tc>
        <w:tc>
          <w:tcPr>
            <w:tcW w:type="dxa" w:w="2520"/>
            <w:shd w:fill="FFFFFF"/>
            <w:tcMar>
              <w:top w:w="100" w:type="dxa"/>
              <w:bottom w:w="100" w:type="dxa"/>
              <w:left w:w="120" w:type="dxa"/>
              <w:right w:w="120" w:type="dxa"/>
            </w:tcMar>
          </w:tcPr>
          <w:p>
            <w:r>
              <w:rPr>
                <w:b/>
                <w:color w:val="10B981"/>
                <w:sz w:val="20"/>
              </w:rPr>
              <w:t>PASSED (Clean)</w:t>
            </w:r>
          </w:p>
        </w:tc>
      </w:tr>
    </w:tbl>
    <w:p>
      <w:pPr>
        <w:spacing w:after="120"/>
      </w:pPr>
    </w:p>
    <w:p>
      <w:pPr>
        <w:keepNext/>
        <w:spacing w:before="360" w:after="160"/>
      </w:pPr>
      <w:r>
        <w:rPr>
          <w:rFonts w:ascii="Times New Roman" w:hAnsi="Times New Roman"/>
          <w:b/>
          <w:color w:val="1E3A8A"/>
          <w:sz w:val="32"/>
        </w:rPr>
        <w:t>X. LIMITATIONS &amp; THREATS TO VALIDITY</w:t>
      </w:r>
    </w:p>
    <w:p>
      <w:pPr>
        <w:spacing w:after="120" w:line="276" w:lineRule="auto"/>
        <w:jc w:val="both"/>
      </w:pPr>
      <w:r>
        <w:rPr>
          <w:rFonts w:ascii="Times New Roman" w:hAnsi="Times New Roman"/>
          <w:color w:val="1E293B"/>
          <w:sz w:val="24"/>
        </w:rPr>
        <w:t>1) Public Proxy Datasets: Due to dataset privacy constraints, empirical evaluation relies on public proxy datasets and small-N pilot validations.</w:t>
        <w:br/>
        <w:t>2) Synthetic Faking Labels: Public datasets lack genuine high-stakes applicant faking labels on SJT formats; robustness metrics depend on calibrated synthetic perturbation.</w:t>
        <w:br/>
        <w:t>3) Long-Horizon Criterion Validity: Evaluating whether predicted occupational fit scores translate into longitudinal job performance requires multi-year tracking, which is deferred to future research.</w:t>
      </w:r>
    </w:p>
    <w:p>
      <w:pPr>
        <w:keepNext/>
        <w:spacing w:before="360" w:after="160"/>
      </w:pPr>
      <w:r>
        <w:rPr>
          <w:rFonts w:ascii="Times New Roman" w:hAnsi="Times New Roman"/>
          <w:b/>
          <w:color w:val="1E3A8A"/>
          <w:sz w:val="32"/>
        </w:rPr>
        <w:t>XI. CONCLUSION &amp; FUTURE WORK</w:t>
      </w:r>
    </w:p>
    <w:p>
      <w:pPr>
        <w:spacing w:after="120" w:line="276" w:lineRule="auto"/>
        <w:jc w:val="both"/>
      </w:pPr>
      <w:r>
        <w:rPr>
          <w:rFonts w:ascii="Times New Roman" w:hAnsi="Times New Roman"/>
          <w:color w:val="1E293B"/>
          <w:sz w:val="24"/>
        </w:rPr>
        <w:t>This paper presented Project Mapan, an AI-driven, scenario-based trait assessment and occupational fit prediction architecture. By fusing forced-choice item scoring, response-latency tracking, sentence embeddings, and IRT/CTT modeling, Mapan achieves high faking resistance while providing explainable fit predictions with calibrated confidence intervals. Future work will extend the framework with Computerized Adaptive Testing (CAT) item selection and specialized defence operational screening modules.</w:t>
      </w:r>
    </w:p>
    <w:p>
      <w:pPr>
        <w:keepNext/>
        <w:spacing w:before="360" w:after="160"/>
      </w:pPr>
      <w:r>
        <w:rPr>
          <w:rFonts w:ascii="Times New Roman" w:hAnsi="Times New Roman"/>
          <w:b/>
          <w:color w:val="1E3A8A"/>
          <w:sz w:val="32"/>
        </w:rPr>
        <w:t>REFERENCES</w:t>
      </w:r>
    </w:p>
    <w:p>
      <w:pPr>
        <w:spacing w:before="40" w:after="80"/>
        <w:ind w:left="360" w:hanging="360"/>
        <w:jc w:val="both"/>
      </w:pPr>
      <w:r>
        <w:rPr>
          <w:sz w:val="20"/>
        </w:rPr>
        <w:t>[1] P. R. Sackett et al., "Revisiting the validity of selection procedures in personnel psychology," Journal of Applied Psychology, vol. 107, no. 11, pp. 2040–2068, 2022.</w:t>
      </w:r>
    </w:p>
    <w:p>
      <w:pPr>
        <w:spacing w:before="40" w:after="80"/>
        <w:ind w:left="360" w:hanging="360"/>
        <w:jc w:val="both"/>
      </w:pPr>
      <w:r>
        <w:rPr>
          <w:sz w:val="20"/>
        </w:rPr>
        <w:t>[2] A. Martínez and J. F. Salgado, "A meta-analysis of the faking resistance of forced-choice personality inventories," Frontiers in Psychology, vol. 12, p. 732241, 2021. doi: 10.3389/fpsyg.2021.732241.</w:t>
      </w:r>
    </w:p>
    <w:p>
      <w:pPr>
        <w:spacing w:before="40" w:after="80"/>
        <w:ind w:left="360" w:hanging="360"/>
        <w:jc w:val="both"/>
      </w:pPr>
      <w:r>
        <w:rPr>
          <w:sz w:val="20"/>
        </w:rPr>
        <w:t>[3] S. Krumm, A. M. Thiel, N. Reznik, J.-P. Freudenstein, P. Schäpers, and P. Mussel, "Creating a psychological test in a few seconds: Can ChatGPT develop a psychometrically sound Situational Judgment Test?" European Journal of Psychological Assessment, 2024. doi: 10.1027/1015-5759/a000878.</w:t>
      </w:r>
    </w:p>
    <w:p>
      <w:pPr>
        <w:spacing w:before="40" w:after="80"/>
        <w:ind w:left="360" w:hanging="360"/>
        <w:jc w:val="both"/>
      </w:pPr>
      <w:r>
        <w:rPr>
          <w:sz w:val="20"/>
        </w:rPr>
        <w:t>[4] N. Hendy et al., "Using bifactor models to identify faking on Big Five questionnaires," International Journal of Selection and Assessment, Wiley, 2021.</w:t>
      </w:r>
    </w:p>
    <w:p>
      <w:pPr>
        <w:spacing w:before="40" w:after="80"/>
        <w:ind w:left="360" w:hanging="360"/>
        <w:jc w:val="both"/>
      </w:pPr>
      <w:r>
        <w:rPr>
          <w:sz w:val="20"/>
        </w:rPr>
        <w:t>[5] T. Seitz, M. Spengler, and T. Meiser, "What if applicants fake their responses?: Modeling faking and response styles in high-stakes assessments using the Multidimensional Nominal Response Model," Educational and Psychological Measurement, 2025. doi: 10.1177/00131644241307560.</w:t>
      </w:r>
    </w:p>
    <w:p>
      <w:pPr>
        <w:spacing w:before="40" w:after="80"/>
        <w:ind w:left="360" w:hanging="360"/>
        <w:jc w:val="both"/>
      </w:pPr>
      <w:r>
        <w:rPr>
          <w:sz w:val="20"/>
        </w:rPr>
        <w:t>[6] "Automated item generation for personality assessment: Development and validation of large-language-model-derived HEXACO situational judgment tests," Journal of Research in Personality, vol. 114, p. 104562, 2025.</w:t>
      </w:r>
    </w:p>
    <w:p>
      <w:pPr>
        <w:spacing w:before="40" w:after="80"/>
        <w:ind w:left="360" w:hanging="360"/>
        <w:jc w:val="both"/>
      </w:pPr>
      <w:r>
        <w:rPr>
          <w:sz w:val="20"/>
        </w:rPr>
        <w:t>[7] C. MacCann et al., "Faking on personality assessments in high-stakes settings: A critical review," Current Opinion in Psychology, vol. 42, 2021.</w:t>
      </w:r>
    </w:p>
    <w:p>
      <w:pPr>
        <w:spacing w:before="40" w:after="80"/>
        <w:ind w:left="360" w:hanging="360"/>
        <w:jc w:val="both"/>
      </w:pPr>
      <w:r>
        <w:rPr>
          <w:sz w:val="20"/>
        </w:rPr>
        <w:t>[8] "The relationship between faking and response latencies: A meta-analysis," European Journal of Psychological Assessment, vol. 35, no. 1, Hogrefe, 2019. doi: 10.1027/1015-5759/a000361.</w:t>
      </w:r>
    </w:p>
    <w:p>
      <w:pPr>
        <w:spacing w:before="40" w:after="80"/>
        <w:ind w:left="360" w:hanging="360"/>
        <w:jc w:val="both"/>
      </w:pPr>
      <w:r>
        <w:rPr>
          <w:sz w:val="20"/>
        </w:rPr>
        <w:t>[9] "How much can people fake on the dark triad? A meta-analysis and systematic review of instructed faking," Personality and Individual Differences, vol. 196, p. 111726, 2022.</w:t>
      </w:r>
    </w:p>
    <w:p>
      <w:pPr>
        <w:spacing w:before="40" w:after="80"/>
        <w:ind w:left="360" w:hanging="360"/>
        <w:jc w:val="both"/>
      </w:pPr>
      <w:r>
        <w:rPr>
          <w:sz w:val="20"/>
        </w:rPr>
        <w:t>[10] "Machine learning in recruiting: Predicting personality from CVs and short text responses," Frontiers in Social Psychology, vol. 1, p. 1290295, 2023. doi: 10.3389/frsps.2023.1290295.</w:t>
      </w:r>
    </w:p>
    <w:p>
      <w:pPr>
        <w:spacing w:before="40" w:after="80"/>
        <w:ind w:left="360" w:hanging="360"/>
        <w:jc w:val="both"/>
      </w:pPr>
      <w:r>
        <w:rPr>
          <w:sz w:val="20"/>
        </w:rPr>
        <w:t>[11] "Driving generative agents with their personality: Dataset release of Open-Source Psychometrics Project (n=1,015,342)," arXiv preprint arXiv:2402.14879, 2024.</w:t>
      </w:r>
    </w:p>
    <w:p>
      <w:pPr>
        <w:spacing w:before="40" w:after="80"/>
        <w:ind w:left="360" w:hanging="360"/>
        <w:jc w:val="both"/>
      </w:pPr>
      <w:r>
        <w:rPr>
          <w:sz w:val="20"/>
        </w:rPr>
        <w:t>[12] "Detecting faking-good response style in personality questionnaires with four choice alternatives," Psychological Research, vol. 85, pp. 1420–1435, 2021. doi: 10.1007/s00426-020-01473-3.</w:t>
      </w:r>
    </w:p>
    <w:p>
      <w:pPr>
        <w:spacing w:before="40" w:after="80"/>
        <w:ind w:left="360" w:hanging="360"/>
        <w:jc w:val="both"/>
      </w:pPr>
      <w:r>
        <w:rPr>
          <w:sz w:val="20"/>
        </w:rPr>
        <w:t>[13] "User modeling for detecting faking-good intent in online personality questionnaires based on mouse dynamics," Multimedia Tools and Applications, Springer, 2025.</w:t>
      </w:r>
    </w:p>
    <w:p>
      <w:pPr>
        <w:spacing w:before="40" w:after="80"/>
        <w:ind w:left="360" w:hanging="360"/>
        <w:jc w:val="both"/>
      </w:pPr>
      <w:r>
        <w:rPr>
          <w:sz w:val="20"/>
        </w:rPr>
        <w:t>[14] "Quantifying and mitigating socially desirable responding in LLMs: A desirability-matched graded forced-choice psychometric study," arXiv preprint arXiv:2602.17262, 2026.</w:t>
      </w:r>
    </w:p>
    <w:p>
      <w:pPr>
        <w:spacing w:before="40" w:after="80"/>
        <w:ind w:left="360" w:hanging="360"/>
        <w:jc w:val="both"/>
      </w:pPr>
      <w:r>
        <w:rPr>
          <w:sz w:val="20"/>
        </w:rPr>
        <w:t>[15] "ConFit v3: Improving resume-job matching with LLM-based re-ranking," arXiv preprint arXiv:2605.09760, 2026.</w:t>
      </w:r>
    </w:p>
    <w:p>
      <w:pPr>
        <w:spacing w:before="40" w:after="80"/>
        <w:ind w:left="360" w:hanging="360"/>
        <w:jc w:val="both"/>
      </w:pPr>
      <w:r>
        <w:rPr>
          <w:sz w:val="20"/>
        </w:rPr>
        <w:t>[16] C. Zhu et al., "Person-job fit: Adapting the right talent for the right job with joint representation learning," in Proc. ACM SIGKDD, 2018. doi: 10.1145/3219819.3219889.</w:t>
      </w:r>
    </w:p>
    <w:p>
      <w:pPr>
        <w:spacing w:before="40" w:after="80"/>
        <w:ind w:left="360" w:hanging="360"/>
        <w:jc w:val="both"/>
      </w:pPr>
      <w:r>
        <w:rPr>
          <w:sz w:val="20"/>
        </w:rPr>
        <w:t>[17] L. J. Cronbach and P. E. Meehl, "Construct validity in psychological tests," Psychological Bulletin, vol. 52, no. 4, pp. 281–302, 1955.</w:t>
      </w:r>
    </w:p>
    <w:p>
      <w:pPr>
        <w:spacing w:before="40" w:after="80"/>
        <w:ind w:left="360" w:hanging="360"/>
        <w:jc w:val="both"/>
      </w:pPr>
      <w:r>
        <w:rPr>
          <w:sz w:val="20"/>
        </w:rPr>
        <w:t>[18] W. Arthur et al., "Investigating the dimensions-vs-exercises paradox in assessment centers," Journal of Applied Psychology, vol. 88, no. 1, pp. 125–139, 2003.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