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D66F" w14:textId="77777777" w:rsidR="000D5B86" w:rsidRPr="000D5B86" w:rsidRDefault="00BB19D9">
      <w:pPr>
        <w:numPr>
          <w:ilvl w:val="0"/>
          <w:numId w:val="1"/>
        </w:numPr>
        <w:rPr>
          <w:b/>
          <w:bCs/>
        </w:rPr>
      </w:pPr>
      <w:r w:rsidRPr="000D5B86">
        <w:rPr>
          <w:b/>
          <w:bCs/>
        </w:rPr>
        <w:t>Which are the top three variables in your model which contribute most towards the probability of a lead getting converted?</w:t>
      </w:r>
    </w:p>
    <w:p w14:paraId="36785B7A" w14:textId="77777777" w:rsidR="000D5B86" w:rsidRDefault="000D5B86" w:rsidP="000D5B86"/>
    <w:p w14:paraId="070CC54E" w14:textId="7E2677C3" w:rsidR="000D5B86" w:rsidRPr="000D5B86" w:rsidRDefault="000D5B86" w:rsidP="000D5B86">
      <w:pPr>
        <w:rPr>
          <w:b/>
          <w:bCs/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Top Three Variables Contributing Most to Lead Conversion</w:t>
      </w:r>
    </w:p>
    <w:p w14:paraId="0FF9F27E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i/>
          <w:iCs/>
          <w:lang w:val="en-IN"/>
        </w:rPr>
        <w:t>The logistic regression model identified the following top three variables based on their absolute coefficients: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1217"/>
        <w:gridCol w:w="2234"/>
      </w:tblGrid>
      <w:tr w:rsidR="000D5B86" w:rsidRPr="000D5B86" w14:paraId="716ADF12" w14:textId="77777777" w:rsidTr="000D5B8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2D8853F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7C8193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Coefficient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83CD62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Absolute Coefficient</w:t>
            </w:r>
          </w:p>
        </w:tc>
      </w:tr>
      <w:tr w:rsidR="000D5B86" w:rsidRPr="000D5B86" w14:paraId="094C8192" w14:textId="77777777" w:rsidTr="000D5B8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FCB7C4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proofErr w:type="spellStart"/>
            <w:r w:rsidRPr="000D5B86">
              <w:rPr>
                <w:i/>
                <w:iCs/>
                <w:lang w:val="en-IN"/>
              </w:rPr>
              <w:t>Tags_Ringing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22A85B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-1.713483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A16FD7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1.713483</w:t>
            </w:r>
          </w:p>
        </w:tc>
      </w:tr>
      <w:tr w:rsidR="000D5B86" w:rsidRPr="000D5B86" w14:paraId="1F91753A" w14:textId="77777777" w:rsidTr="000D5B8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13782F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proofErr w:type="spellStart"/>
            <w:r w:rsidRPr="000D5B86">
              <w:rPr>
                <w:i/>
                <w:iCs/>
                <w:lang w:val="en-IN"/>
              </w:rPr>
              <w:t>Tags_Will</w:t>
            </w:r>
            <w:proofErr w:type="spellEnd"/>
            <w:r w:rsidRPr="000D5B86">
              <w:rPr>
                <w:i/>
                <w:iCs/>
                <w:lang w:val="en-IN"/>
              </w:rPr>
              <w:t xml:space="preserve"> revert after reading the email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F67B1E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1.586093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DDF1C9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1.586093</w:t>
            </w:r>
          </w:p>
        </w:tc>
      </w:tr>
      <w:tr w:rsidR="000D5B86" w:rsidRPr="000D5B86" w14:paraId="7D035763" w14:textId="77777777" w:rsidTr="000D5B8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4AF74E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 xml:space="preserve">Total Time Spent on </w:t>
            </w:r>
            <w:r w:rsidRPr="000D5B86">
              <w:rPr>
                <w:b/>
                <w:bCs/>
                <w:i/>
                <w:iCs/>
                <w:lang w:val="en-IN"/>
              </w:rPr>
              <w:t>Website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E3EE2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1.350468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BF2BE1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1.350468</w:t>
            </w:r>
          </w:p>
        </w:tc>
      </w:tr>
    </w:tbl>
    <w:p w14:paraId="7A1D2DFA" w14:textId="77777777" w:rsidR="000D5B86" w:rsidRPr="000D5B86" w:rsidRDefault="000D5B86" w:rsidP="000D5B86">
      <w:pPr>
        <w:rPr>
          <w:b/>
          <w:bCs/>
          <w:i/>
          <w:iCs/>
          <w:lang w:val="en-IN"/>
        </w:rPr>
      </w:pPr>
    </w:p>
    <w:p w14:paraId="043C6C87" w14:textId="24CD7C10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Explanation:</w:t>
      </w:r>
    </w:p>
    <w:p w14:paraId="1D1C1863" w14:textId="77777777" w:rsidR="000D5B86" w:rsidRPr="000D5B86" w:rsidRDefault="000D5B86" w:rsidP="000D5B86">
      <w:pPr>
        <w:numPr>
          <w:ilvl w:val="0"/>
          <w:numId w:val="2"/>
        </w:numPr>
        <w:rPr>
          <w:i/>
          <w:iCs/>
          <w:lang w:val="en-IN"/>
        </w:rPr>
      </w:pPr>
      <w:proofErr w:type="spellStart"/>
      <w:r w:rsidRPr="000D5B86">
        <w:rPr>
          <w:b/>
          <w:bCs/>
          <w:i/>
          <w:iCs/>
          <w:lang w:val="en-IN"/>
        </w:rPr>
        <w:t>Tags_Ringing</w:t>
      </w:r>
      <w:proofErr w:type="spellEnd"/>
      <w:r w:rsidRPr="000D5B86">
        <w:rPr>
          <w:i/>
          <w:iCs/>
          <w:lang w:val="en-IN"/>
        </w:rPr>
        <w:t xml:space="preserve"> negatively influences the probability of lead conversion. This suggests that leads marked with this tag are less likely to convert, and strategies should focus on improving engagement with these leads.</w:t>
      </w:r>
    </w:p>
    <w:p w14:paraId="59E06149" w14:textId="77777777" w:rsidR="000D5B86" w:rsidRPr="000D5B86" w:rsidRDefault="000D5B86" w:rsidP="000D5B86">
      <w:pPr>
        <w:numPr>
          <w:ilvl w:val="0"/>
          <w:numId w:val="2"/>
        </w:numPr>
        <w:rPr>
          <w:i/>
          <w:iCs/>
          <w:lang w:val="en-IN"/>
        </w:rPr>
      </w:pPr>
      <w:proofErr w:type="spellStart"/>
      <w:r w:rsidRPr="000D5B86">
        <w:rPr>
          <w:b/>
          <w:bCs/>
          <w:i/>
          <w:iCs/>
          <w:lang w:val="en-IN"/>
        </w:rPr>
        <w:t>Tags_Will</w:t>
      </w:r>
      <w:proofErr w:type="spellEnd"/>
      <w:r w:rsidRPr="000D5B86">
        <w:rPr>
          <w:b/>
          <w:bCs/>
          <w:i/>
          <w:iCs/>
          <w:lang w:val="en-IN"/>
        </w:rPr>
        <w:t xml:space="preserve"> revert after reading the email</w:t>
      </w:r>
      <w:r w:rsidRPr="000D5B86">
        <w:rPr>
          <w:i/>
          <w:iCs/>
          <w:lang w:val="en-IN"/>
        </w:rPr>
        <w:t xml:space="preserve"> positively influences lead conversion. These leads are likely to convert, indicating that follow-up emails play a significant role in their decision-making.</w:t>
      </w:r>
    </w:p>
    <w:p w14:paraId="151AECA1" w14:textId="7C7790A1" w:rsidR="000D5B86" w:rsidRPr="000D5B86" w:rsidRDefault="000D5B86" w:rsidP="000D5B86">
      <w:pPr>
        <w:numPr>
          <w:ilvl w:val="0"/>
          <w:numId w:val="2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Total Time Spent on Website</w:t>
      </w:r>
      <w:r w:rsidRPr="000D5B86">
        <w:rPr>
          <w:i/>
          <w:iCs/>
          <w:lang w:val="en-IN"/>
        </w:rPr>
        <w:t xml:space="preserve"> positively impacts conversion. The more time a lead spends on the website, the higher the probability of conversion, indicating a strong interest in the product or service.</w:t>
      </w:r>
    </w:p>
    <w:p w14:paraId="5443A6D3" w14:textId="012C21D7" w:rsidR="00243243" w:rsidRPr="000D5B86" w:rsidRDefault="00BB19D9" w:rsidP="000D5B86">
      <w:pPr>
        <w:rPr>
          <w:i/>
          <w:iCs/>
        </w:rPr>
      </w:pPr>
      <w:r w:rsidRPr="000D5B86">
        <w:rPr>
          <w:i/>
          <w:iCs/>
        </w:rPr>
        <w:br/>
      </w:r>
    </w:p>
    <w:p w14:paraId="4263D1CE" w14:textId="766CBEAF" w:rsidR="00243243" w:rsidRPr="000D5B86" w:rsidRDefault="00BB19D9" w:rsidP="000D5B86">
      <w:pPr>
        <w:numPr>
          <w:ilvl w:val="0"/>
          <w:numId w:val="1"/>
        </w:numPr>
        <w:rPr>
          <w:b/>
          <w:bCs/>
        </w:rPr>
      </w:pPr>
      <w:r w:rsidRPr="000D5B86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0F8627E5" w14:textId="77777777" w:rsidR="000D5B86" w:rsidRDefault="000D5B86" w:rsidP="000D5B86"/>
    <w:p w14:paraId="0BCB5DAE" w14:textId="00E5EB72" w:rsidR="000D5B86" w:rsidRPr="000D5B86" w:rsidRDefault="000D5B86" w:rsidP="000D5B86">
      <w:pPr>
        <w:rPr>
          <w:b/>
          <w:bCs/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Top Three Categorical/Dummy Variables to Focus On</w:t>
      </w:r>
    </w:p>
    <w:p w14:paraId="13D59C94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i/>
          <w:iCs/>
          <w:lang w:val="en-IN"/>
        </w:rPr>
        <w:t>Among the categorical variables, the top three contributors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1217"/>
        <w:gridCol w:w="2234"/>
      </w:tblGrid>
      <w:tr w:rsidR="000D5B86" w:rsidRPr="000D5B86" w14:paraId="008F20DB" w14:textId="77777777" w:rsidTr="000D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8E5F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367341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76F06CE9" w14:textId="77777777" w:rsidR="000D5B86" w:rsidRPr="000D5B86" w:rsidRDefault="000D5B86" w:rsidP="000D5B86">
            <w:pPr>
              <w:rPr>
                <w:b/>
                <w:bCs/>
                <w:i/>
                <w:iCs/>
                <w:lang w:val="en-IN"/>
              </w:rPr>
            </w:pPr>
            <w:r w:rsidRPr="000D5B86">
              <w:rPr>
                <w:b/>
                <w:bCs/>
                <w:i/>
                <w:iCs/>
                <w:lang w:val="en-IN"/>
              </w:rPr>
              <w:t>Absolute Coefficient</w:t>
            </w:r>
          </w:p>
        </w:tc>
      </w:tr>
      <w:tr w:rsidR="000D5B86" w:rsidRPr="000D5B86" w14:paraId="403693BA" w14:textId="77777777" w:rsidTr="000D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2EEE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proofErr w:type="spellStart"/>
            <w:r w:rsidRPr="000D5B86">
              <w:rPr>
                <w:i/>
                <w:iCs/>
                <w:lang w:val="en-IN"/>
              </w:rPr>
              <w:t>Tags_Ringing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10ADF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-1.713483</w:t>
            </w:r>
          </w:p>
        </w:tc>
        <w:tc>
          <w:tcPr>
            <w:tcW w:w="0" w:type="auto"/>
            <w:vAlign w:val="center"/>
            <w:hideMark/>
          </w:tcPr>
          <w:p w14:paraId="469AEB02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1.713483</w:t>
            </w:r>
          </w:p>
        </w:tc>
      </w:tr>
      <w:tr w:rsidR="000D5B86" w:rsidRPr="000D5B86" w14:paraId="73F3B1D0" w14:textId="77777777" w:rsidTr="000D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24E9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proofErr w:type="spellStart"/>
            <w:r w:rsidRPr="000D5B86">
              <w:rPr>
                <w:i/>
                <w:iCs/>
                <w:lang w:val="en-IN"/>
              </w:rPr>
              <w:t>Tags_Will</w:t>
            </w:r>
            <w:proofErr w:type="spellEnd"/>
            <w:r w:rsidRPr="000D5B86">
              <w:rPr>
                <w:i/>
                <w:iCs/>
                <w:lang w:val="en-IN"/>
              </w:rPr>
              <w:t xml:space="preserve"> revert after reading the email</w:t>
            </w:r>
          </w:p>
        </w:tc>
        <w:tc>
          <w:tcPr>
            <w:tcW w:w="0" w:type="auto"/>
            <w:vAlign w:val="center"/>
            <w:hideMark/>
          </w:tcPr>
          <w:p w14:paraId="676AA60E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1.586093</w:t>
            </w:r>
          </w:p>
        </w:tc>
        <w:tc>
          <w:tcPr>
            <w:tcW w:w="0" w:type="auto"/>
            <w:vAlign w:val="center"/>
            <w:hideMark/>
          </w:tcPr>
          <w:p w14:paraId="017155C2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1.586093</w:t>
            </w:r>
          </w:p>
        </w:tc>
      </w:tr>
      <w:tr w:rsidR="000D5B86" w:rsidRPr="000D5B86" w14:paraId="10A7E176" w14:textId="77777777" w:rsidTr="000D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7D8F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proofErr w:type="spellStart"/>
            <w:r w:rsidRPr="000D5B86">
              <w:rPr>
                <w:i/>
                <w:iCs/>
                <w:lang w:val="en-IN"/>
              </w:rPr>
              <w:t>Tags_Lost</w:t>
            </w:r>
            <w:proofErr w:type="spellEnd"/>
            <w:r w:rsidRPr="000D5B86">
              <w:rPr>
                <w:i/>
                <w:iCs/>
                <w:lang w:val="en-IN"/>
              </w:rPr>
              <w:t xml:space="preserve"> to EINS</w:t>
            </w:r>
          </w:p>
        </w:tc>
        <w:tc>
          <w:tcPr>
            <w:tcW w:w="0" w:type="auto"/>
            <w:vAlign w:val="center"/>
            <w:hideMark/>
          </w:tcPr>
          <w:p w14:paraId="0C52CC37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0.932813</w:t>
            </w:r>
          </w:p>
        </w:tc>
        <w:tc>
          <w:tcPr>
            <w:tcW w:w="0" w:type="auto"/>
            <w:vAlign w:val="center"/>
            <w:hideMark/>
          </w:tcPr>
          <w:p w14:paraId="5F7117B8" w14:textId="77777777" w:rsidR="000D5B86" w:rsidRPr="000D5B86" w:rsidRDefault="000D5B86" w:rsidP="000D5B86">
            <w:pPr>
              <w:rPr>
                <w:i/>
                <w:iCs/>
                <w:lang w:val="en-IN"/>
              </w:rPr>
            </w:pPr>
            <w:r w:rsidRPr="000D5B86">
              <w:rPr>
                <w:i/>
                <w:iCs/>
                <w:lang w:val="en-IN"/>
              </w:rPr>
              <w:t>0.932813</w:t>
            </w:r>
          </w:p>
        </w:tc>
      </w:tr>
    </w:tbl>
    <w:p w14:paraId="48B93E64" w14:textId="77777777" w:rsidR="000D5B86" w:rsidRPr="000D5B86" w:rsidRDefault="000D5B86" w:rsidP="000D5B86">
      <w:pPr>
        <w:rPr>
          <w:b/>
          <w:bCs/>
          <w:i/>
          <w:iCs/>
          <w:lang w:val="en-IN"/>
        </w:rPr>
      </w:pPr>
    </w:p>
    <w:p w14:paraId="138129C3" w14:textId="28B52781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Explanation:</w:t>
      </w:r>
    </w:p>
    <w:p w14:paraId="5D2BD2AA" w14:textId="77777777" w:rsidR="000D5B86" w:rsidRPr="000D5B86" w:rsidRDefault="000D5B86" w:rsidP="000D5B86">
      <w:pPr>
        <w:numPr>
          <w:ilvl w:val="0"/>
          <w:numId w:val="3"/>
        </w:numPr>
        <w:rPr>
          <w:i/>
          <w:iCs/>
          <w:lang w:val="en-IN"/>
        </w:rPr>
      </w:pPr>
      <w:proofErr w:type="spellStart"/>
      <w:r w:rsidRPr="000D5B86">
        <w:rPr>
          <w:b/>
          <w:bCs/>
          <w:i/>
          <w:iCs/>
          <w:lang w:val="en-IN"/>
        </w:rPr>
        <w:t>Tags_Ringing</w:t>
      </w:r>
      <w:proofErr w:type="spellEnd"/>
      <w:r w:rsidRPr="000D5B86">
        <w:rPr>
          <w:i/>
          <w:iCs/>
          <w:lang w:val="en-IN"/>
        </w:rPr>
        <w:t xml:space="preserve"> and </w:t>
      </w:r>
      <w:proofErr w:type="spellStart"/>
      <w:r w:rsidRPr="000D5B86">
        <w:rPr>
          <w:b/>
          <w:bCs/>
          <w:i/>
          <w:iCs/>
          <w:lang w:val="en-IN"/>
        </w:rPr>
        <w:t>Tags_Will</w:t>
      </w:r>
      <w:proofErr w:type="spellEnd"/>
      <w:r w:rsidRPr="000D5B86">
        <w:rPr>
          <w:b/>
          <w:bCs/>
          <w:i/>
          <w:iCs/>
          <w:lang w:val="en-IN"/>
        </w:rPr>
        <w:t xml:space="preserve"> revert after reading the email</w:t>
      </w:r>
      <w:r w:rsidRPr="000D5B86">
        <w:rPr>
          <w:i/>
          <w:iCs/>
          <w:lang w:val="en-IN"/>
        </w:rPr>
        <w:t xml:space="preserve"> exhibit significant influence, as explained above.</w:t>
      </w:r>
    </w:p>
    <w:p w14:paraId="753D9FC4" w14:textId="77777777" w:rsidR="000D5B86" w:rsidRPr="000D5B86" w:rsidRDefault="000D5B86" w:rsidP="000D5B86">
      <w:pPr>
        <w:numPr>
          <w:ilvl w:val="0"/>
          <w:numId w:val="3"/>
        </w:numPr>
        <w:rPr>
          <w:i/>
          <w:iCs/>
          <w:lang w:val="en-IN"/>
        </w:rPr>
      </w:pPr>
      <w:proofErr w:type="spellStart"/>
      <w:r w:rsidRPr="000D5B86">
        <w:rPr>
          <w:b/>
          <w:bCs/>
          <w:i/>
          <w:iCs/>
          <w:lang w:val="en-IN"/>
        </w:rPr>
        <w:t>Tags_Lost</w:t>
      </w:r>
      <w:proofErr w:type="spellEnd"/>
      <w:r w:rsidRPr="000D5B86">
        <w:rPr>
          <w:b/>
          <w:bCs/>
          <w:i/>
          <w:iCs/>
          <w:lang w:val="en-IN"/>
        </w:rPr>
        <w:t xml:space="preserve"> to EINS</w:t>
      </w:r>
      <w:r w:rsidRPr="000D5B86">
        <w:rPr>
          <w:i/>
          <w:iCs/>
          <w:lang w:val="en-IN"/>
        </w:rPr>
        <w:t xml:space="preserve"> indicates leads lost to competitors. Addressing the reasons behind these losses could improve conversion rates.</w:t>
      </w:r>
    </w:p>
    <w:p w14:paraId="09277F93" w14:textId="77777777" w:rsidR="000D5B86" w:rsidRDefault="000D5B86" w:rsidP="000D5B86"/>
    <w:p w14:paraId="0A74ADEC" w14:textId="77777777" w:rsidR="00243243" w:rsidRDefault="00243243" w:rsidP="000D5B86"/>
    <w:p w14:paraId="34A01A05" w14:textId="77777777" w:rsidR="000D5B86" w:rsidRDefault="000D5B86" w:rsidP="000D5B86"/>
    <w:p w14:paraId="5CBA0CDF" w14:textId="77777777" w:rsidR="000D5B86" w:rsidRPr="000D5B86" w:rsidRDefault="00BB19D9" w:rsidP="000D5B86">
      <w:pPr>
        <w:numPr>
          <w:ilvl w:val="0"/>
          <w:numId w:val="1"/>
        </w:numPr>
        <w:rPr>
          <w:b/>
          <w:bCs/>
        </w:rPr>
      </w:pPr>
      <w:r w:rsidRPr="000D5B86">
        <w:rPr>
          <w:b/>
          <w:bCs/>
        </w:rP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 w:rsidRPr="000D5B86">
        <w:rPr>
          <w:b/>
          <w:bCs/>
        </w:rPr>
        <w:t>So</w:t>
      </w:r>
      <w:proofErr w:type="gramEnd"/>
      <w:r w:rsidRPr="000D5B86">
        <w:rPr>
          <w:b/>
          <w:bCs/>
        </w:rPr>
        <w:t xml:space="preserve"> during this phase, they wish to make the lead conversion more aggressive. </w:t>
      </w:r>
      <w:proofErr w:type="gramStart"/>
      <w:r w:rsidRPr="000D5B86">
        <w:rPr>
          <w:b/>
          <w:bCs/>
        </w:rPr>
        <w:t>So</w:t>
      </w:r>
      <w:proofErr w:type="gramEnd"/>
      <w:r w:rsidRPr="000D5B86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A92A85C" w14:textId="77777777" w:rsidR="000D5B86" w:rsidRPr="000D5B86" w:rsidRDefault="000D5B86" w:rsidP="000D5B86">
      <w:pPr>
        <w:rPr>
          <w:b/>
          <w:bCs/>
        </w:rPr>
      </w:pPr>
    </w:p>
    <w:p w14:paraId="61C8DADF" w14:textId="757ACEFD" w:rsidR="000D5B86" w:rsidRPr="000D5B86" w:rsidRDefault="000D5B86" w:rsidP="000D5B86">
      <w:pPr>
        <w:rPr>
          <w:b/>
          <w:bCs/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Strategy for Aggressive Lead Conversion</w:t>
      </w:r>
    </w:p>
    <w:p w14:paraId="718175A6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i/>
          <w:iCs/>
          <w:lang w:val="en-IN"/>
        </w:rPr>
        <w:t xml:space="preserve">When X Education wants to aggressively convert leads during the intern hiring period, lowering the prediction threshold to </w:t>
      </w:r>
      <w:r w:rsidRPr="000D5B86">
        <w:rPr>
          <w:b/>
          <w:bCs/>
          <w:i/>
          <w:iCs/>
          <w:lang w:val="en-IN"/>
        </w:rPr>
        <w:t>0.3</w:t>
      </w:r>
      <w:r w:rsidRPr="000D5B86">
        <w:rPr>
          <w:i/>
          <w:iCs/>
          <w:lang w:val="en-IN"/>
        </w:rPr>
        <w:t xml:space="preserve"> results in targeting </w:t>
      </w:r>
      <w:r w:rsidRPr="000D5B86">
        <w:rPr>
          <w:b/>
          <w:bCs/>
          <w:i/>
          <w:iCs/>
          <w:lang w:val="en-IN"/>
        </w:rPr>
        <w:t>1123 leads</w:t>
      </w:r>
      <w:r w:rsidRPr="000D5B86">
        <w:rPr>
          <w:i/>
          <w:iCs/>
          <w:lang w:val="en-IN"/>
        </w:rPr>
        <w:t>.</w:t>
      </w:r>
    </w:p>
    <w:p w14:paraId="0E8B5CF1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Suggested Strategy:</w:t>
      </w:r>
    </w:p>
    <w:p w14:paraId="137931F1" w14:textId="77777777" w:rsidR="000D5B86" w:rsidRPr="000D5B86" w:rsidRDefault="000D5B86" w:rsidP="000D5B86">
      <w:pPr>
        <w:numPr>
          <w:ilvl w:val="0"/>
          <w:numId w:val="4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Prioritize high-probability leads:</w:t>
      </w:r>
      <w:r w:rsidRPr="000D5B86">
        <w:rPr>
          <w:i/>
          <w:iCs/>
          <w:lang w:val="en-IN"/>
        </w:rPr>
        <w:t xml:space="preserve"> Focus on leads with higher predicted probabilities first to maximize efficiency.</w:t>
      </w:r>
    </w:p>
    <w:p w14:paraId="2B7D9A5B" w14:textId="77777777" w:rsidR="000D5B86" w:rsidRPr="000D5B86" w:rsidRDefault="000D5B86" w:rsidP="000D5B86">
      <w:pPr>
        <w:numPr>
          <w:ilvl w:val="0"/>
          <w:numId w:val="4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Increase communication frequency:</w:t>
      </w:r>
      <w:r w:rsidRPr="000D5B86">
        <w:rPr>
          <w:i/>
          <w:iCs/>
          <w:lang w:val="en-IN"/>
        </w:rPr>
        <w:t xml:space="preserve"> Utilize multiple channels (emails, calls, SMS) to engage targeted leads actively.</w:t>
      </w:r>
    </w:p>
    <w:p w14:paraId="0C976A8E" w14:textId="77777777" w:rsidR="000D5B86" w:rsidRPr="000D5B86" w:rsidRDefault="000D5B86" w:rsidP="000D5B86">
      <w:pPr>
        <w:numPr>
          <w:ilvl w:val="0"/>
          <w:numId w:val="4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Personalized follow-ups:</w:t>
      </w:r>
      <w:r w:rsidRPr="000D5B86">
        <w:rPr>
          <w:i/>
          <w:iCs/>
          <w:lang w:val="en-IN"/>
        </w:rPr>
        <w:t xml:space="preserve"> Leverage the insights from top contributing variables to craft personalized messages, especially for leads with tags like "Will revert after reading the email."</w:t>
      </w:r>
    </w:p>
    <w:p w14:paraId="3B99BB70" w14:textId="77777777" w:rsidR="000D5B86" w:rsidRDefault="000D5B86" w:rsidP="000D5B86"/>
    <w:p w14:paraId="2AD3584B" w14:textId="77777777" w:rsidR="000D5B86" w:rsidRDefault="000D5B86" w:rsidP="000D5B86"/>
    <w:p w14:paraId="3940E14B" w14:textId="13B8925B" w:rsidR="00243243" w:rsidRDefault="00BB19D9" w:rsidP="000D5B86">
      <w:r>
        <w:br/>
      </w:r>
    </w:p>
    <w:p w14:paraId="5505FD77" w14:textId="65A8A398" w:rsidR="000D5B86" w:rsidRPr="000D5B86" w:rsidRDefault="00BB19D9" w:rsidP="000D5B86">
      <w:pPr>
        <w:numPr>
          <w:ilvl w:val="0"/>
          <w:numId w:val="1"/>
        </w:numPr>
        <w:rPr>
          <w:b/>
          <w:bCs/>
        </w:rPr>
      </w:pPr>
      <w:r w:rsidRPr="000D5B86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D5B86">
        <w:rPr>
          <w:b/>
          <w:bCs/>
        </w:rPr>
        <w:t>So</w:t>
      </w:r>
      <w:proofErr w:type="gramEnd"/>
      <w:r w:rsidRPr="000D5B86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0D5B86">
        <w:rPr>
          <w:b/>
          <w:bCs/>
        </w:rPr>
        <w:t>z</w:t>
      </w:r>
      <w:r w:rsidRPr="000D5B86">
        <w:rPr>
          <w:b/>
          <w:bCs/>
        </w:rPr>
        <w:t>e the rate of useless phone calls. Suggest a strategy they should employ at this stage.</w:t>
      </w:r>
    </w:p>
    <w:p w14:paraId="7740B2F4" w14:textId="77777777" w:rsidR="000D5B86" w:rsidRDefault="000D5B86" w:rsidP="000D5B86"/>
    <w:p w14:paraId="3DCA51FA" w14:textId="5C47FB20" w:rsidR="000D5B86" w:rsidRPr="000D5B86" w:rsidRDefault="000D5B86" w:rsidP="000D5B86">
      <w:pPr>
        <w:rPr>
          <w:b/>
          <w:bCs/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Strategy to Minimize Useless Phone Calls</w:t>
      </w:r>
    </w:p>
    <w:p w14:paraId="15B7B1AC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i/>
          <w:iCs/>
          <w:lang w:val="en-IN"/>
        </w:rPr>
        <w:t xml:space="preserve">When the company wants to minimize unnecessary phone calls, raising the prediction threshold to </w:t>
      </w:r>
      <w:r w:rsidRPr="000D5B86">
        <w:rPr>
          <w:b/>
          <w:bCs/>
          <w:i/>
          <w:iCs/>
          <w:lang w:val="en-IN"/>
        </w:rPr>
        <w:t>0.7</w:t>
      </w:r>
      <w:r w:rsidRPr="000D5B86">
        <w:rPr>
          <w:i/>
          <w:iCs/>
          <w:lang w:val="en-IN"/>
        </w:rPr>
        <w:t xml:space="preserve"> results in targeting </w:t>
      </w:r>
      <w:r w:rsidRPr="000D5B86">
        <w:rPr>
          <w:b/>
          <w:bCs/>
          <w:i/>
          <w:iCs/>
          <w:lang w:val="en-IN"/>
        </w:rPr>
        <w:t>967 leads.</w:t>
      </w:r>
    </w:p>
    <w:p w14:paraId="4327E2C2" w14:textId="77777777" w:rsidR="000D5B86" w:rsidRPr="000D5B86" w:rsidRDefault="000D5B86" w:rsidP="000D5B86">
      <w:p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Suggested Strategy:</w:t>
      </w:r>
    </w:p>
    <w:p w14:paraId="6C330D0F" w14:textId="77777777" w:rsidR="000D5B86" w:rsidRPr="000D5B86" w:rsidRDefault="000D5B86" w:rsidP="000D5B86">
      <w:pPr>
        <w:numPr>
          <w:ilvl w:val="0"/>
          <w:numId w:val="5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Focus on high-confidence leads:</w:t>
      </w:r>
      <w:r w:rsidRPr="000D5B86">
        <w:rPr>
          <w:i/>
          <w:iCs/>
          <w:lang w:val="en-IN"/>
        </w:rPr>
        <w:t xml:space="preserve"> Call only leads with predicted probabilities above 0.7 to ensure calls are directed towards leads most likely to convert.</w:t>
      </w:r>
    </w:p>
    <w:p w14:paraId="7D88D774" w14:textId="77777777" w:rsidR="000D5B86" w:rsidRPr="000D5B86" w:rsidRDefault="000D5B86" w:rsidP="000D5B86">
      <w:pPr>
        <w:numPr>
          <w:ilvl w:val="0"/>
          <w:numId w:val="5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Use email for others:</w:t>
      </w:r>
      <w:r w:rsidRPr="000D5B86">
        <w:rPr>
          <w:i/>
          <w:iCs/>
          <w:lang w:val="en-IN"/>
        </w:rPr>
        <w:t xml:space="preserve"> For lower-confidence leads, prioritize emails or other less resource-intensive communication methods.</w:t>
      </w:r>
    </w:p>
    <w:p w14:paraId="2ABE589E" w14:textId="61DA70CC" w:rsidR="006A15D8" w:rsidRPr="00DF2900" w:rsidRDefault="000D5B86" w:rsidP="006A15D8">
      <w:pPr>
        <w:numPr>
          <w:ilvl w:val="0"/>
          <w:numId w:val="5"/>
        </w:numPr>
        <w:rPr>
          <w:i/>
          <w:iCs/>
          <w:lang w:val="en-IN"/>
        </w:rPr>
      </w:pPr>
      <w:r w:rsidRPr="000D5B86">
        <w:rPr>
          <w:b/>
          <w:bCs/>
          <w:i/>
          <w:iCs/>
          <w:lang w:val="en-IN"/>
        </w:rPr>
        <w:t>Monitor call outcomes:</w:t>
      </w:r>
      <w:r w:rsidRPr="000D5B86">
        <w:rPr>
          <w:i/>
          <w:iCs/>
          <w:lang w:val="en-IN"/>
        </w:rPr>
        <w:t xml:space="preserve"> Evaluate the success of calls made during this phase to refine the strategy further.</w:t>
      </w:r>
    </w:p>
    <w:sectPr w:rsidR="006A15D8" w:rsidRPr="00DF2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9FD"/>
    <w:multiLevelType w:val="multilevel"/>
    <w:tmpl w:val="28E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22BF4"/>
    <w:multiLevelType w:val="multilevel"/>
    <w:tmpl w:val="B77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77EFD"/>
    <w:multiLevelType w:val="multilevel"/>
    <w:tmpl w:val="25D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10108"/>
    <w:multiLevelType w:val="multilevel"/>
    <w:tmpl w:val="837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B7F3D"/>
    <w:multiLevelType w:val="multilevel"/>
    <w:tmpl w:val="1FA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486551780">
    <w:abstractNumId w:val="5"/>
  </w:num>
  <w:num w:numId="2" w16cid:durableId="1343436473">
    <w:abstractNumId w:val="3"/>
  </w:num>
  <w:num w:numId="3" w16cid:durableId="49113233">
    <w:abstractNumId w:val="1"/>
  </w:num>
  <w:num w:numId="4" w16cid:durableId="1638795997">
    <w:abstractNumId w:val="0"/>
  </w:num>
  <w:num w:numId="5" w16cid:durableId="2035838452">
    <w:abstractNumId w:val="4"/>
  </w:num>
  <w:num w:numId="6" w16cid:durableId="91397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D5B86"/>
    <w:rsid w:val="001F26A5"/>
    <w:rsid w:val="00243243"/>
    <w:rsid w:val="00625949"/>
    <w:rsid w:val="006A15D8"/>
    <w:rsid w:val="00BB19D9"/>
    <w:rsid w:val="00D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M Shetty B</cp:lastModifiedBy>
  <cp:revision>7</cp:revision>
  <dcterms:created xsi:type="dcterms:W3CDTF">2019-01-07T08:33:00Z</dcterms:created>
  <dcterms:modified xsi:type="dcterms:W3CDTF">2025-01-19T10:17:00Z</dcterms:modified>
</cp:coreProperties>
</file>