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AA8"/>
          <w:sz w:val="26"/>
        </w:rPr>
        <w:t>WEB APPLICATION</w:t>
      </w:r>
    </w:p>
    <w:p>
      <w:pPr>
        <w:jc w:val="center"/>
      </w:pPr>
      <w:r>
        <w:rPr>
          <w:b/>
          <w:color w:val="0B1F3A"/>
          <w:sz w:val="68"/>
        </w:rPr>
        <w:t>VAPT REPORT</w:t>
      </w:r>
    </w:p>
    <w:p>
      <w:pPr>
        <w:jc w:val="center"/>
      </w:pPr>
      <w:r>
        <w:rPr>
          <w:color w:val="5A626C"/>
          <w:sz w:val="36"/>
        </w:rPr>
        <w:t>Project 2 - OWASP Juice Shop</w:t>
      </w:r>
    </w:p>
    <w:p/>
    <w:tbl>
      <w:tblPr>
        <w:tblW w:type="auto" w:w="0"/>
        <w:jc w:val="center"/>
        <w:tblLayout w:type="fixed"/>
        <w:tblLook w:firstColumn="1" w:firstRow="1" w:lastColumn="0" w:lastRow="0" w:noHBand="0" w:noVBand="1" w:val="04A0"/>
        <w:tblBorders>
          <w:top w:val="single" w:sz="6" w:space="0" w:color="D5DCE6"/>
          <w:left w:val="single" w:sz="6" w:space="0" w:color="D5DCE6"/>
          <w:bottom w:val="single" w:sz="6" w:space="0" w:color="D5DCE6"/>
          <w:right w:val="single" w:sz="6" w:space="0" w:color="D5DCE6"/>
          <w:insideH w:val="single" w:sz="6" w:space="0" w:color="D5DCE6"/>
          <w:insideV w:val="single" w:sz="6" w:space="0" w:color="D5DCE6"/>
        </w:tblBorders>
      </w:tblPr>
      <w:tblGrid>
        <w:gridCol w:w="3024"/>
        <w:gridCol w:w="6624"/>
      </w:tblGrid>
      <w:tr>
        <w:tc>
          <w:tcPr>
            <w:tcW w:type="dxa" w:w="5040"/>
            <w:vAlign w:val="center"/>
            <w:tcMar>
              <w:top w:w="80" w:type="dxa"/>
              <w:start w:w="90" w:type="dxa"/>
              <w:bottom w:w="80" w:type="dxa"/>
              <w:end w:w="90" w:type="dxa"/>
            </w:tcMar>
            <w:shd w:fill="0B1F3A"/>
          </w:tcPr>
          <w:p>
            <w:r>
              <w:rPr>
                <w:b/>
                <w:color w:val="FFFFFF"/>
              </w:rPr>
              <w:t>Assessment type</w:t>
            </w:r>
          </w:p>
        </w:tc>
        <w:tc>
          <w:tcPr>
            <w:tcW w:type="dxa" w:w="5040"/>
            <w:vAlign w:val="center"/>
            <w:tcMar>
              <w:top w:w="80" w:type="dxa"/>
              <w:start w:w="90" w:type="dxa"/>
              <w:bottom w:w="80" w:type="dxa"/>
              <w:end w:w="90" w:type="dxa"/>
            </w:tcMar>
            <w:shd w:fill="F6F8FB"/>
          </w:tcPr>
          <w:p>
            <w:r>
              <w:t>Authenticated and unauthenticated web application VAPT</w:t>
            </w:r>
          </w:p>
        </w:tc>
      </w:tr>
      <w:tr>
        <w:tc>
          <w:tcPr>
            <w:tcW w:type="dxa" w:w="5040"/>
            <w:vAlign w:val="center"/>
            <w:tcMar>
              <w:top w:w="80" w:type="dxa"/>
              <w:start w:w="90" w:type="dxa"/>
              <w:bottom w:w="80" w:type="dxa"/>
              <w:end w:w="90" w:type="dxa"/>
            </w:tcMar>
            <w:shd w:fill="0B1F3A"/>
          </w:tcPr>
          <w:p>
            <w:r>
              <w:rPr>
                <w:b/>
                <w:color w:val="FFFFFF"/>
              </w:rPr>
              <w:t>Target</w:t>
            </w:r>
          </w:p>
        </w:tc>
        <w:tc>
          <w:tcPr>
            <w:tcW w:type="dxa" w:w="5040"/>
            <w:vAlign w:val="center"/>
            <w:tcMar>
              <w:top w:w="80" w:type="dxa"/>
              <w:start w:w="90" w:type="dxa"/>
              <w:bottom w:w="80" w:type="dxa"/>
              <w:end w:w="90" w:type="dxa"/>
            </w:tcMar>
            <w:shd w:fill="F6F8FB"/>
          </w:tcPr>
          <w:p>
            <w:r>
              <w:t>OWASP Juice Shop at 127.0.0.1:3000</w:t>
            </w:r>
          </w:p>
        </w:tc>
      </w:tr>
      <w:tr>
        <w:tc>
          <w:tcPr>
            <w:tcW w:type="dxa" w:w="5040"/>
            <w:vAlign w:val="center"/>
            <w:tcMar>
              <w:top w:w="80" w:type="dxa"/>
              <w:start w:w="90" w:type="dxa"/>
              <w:bottom w:w="80" w:type="dxa"/>
              <w:end w:w="90" w:type="dxa"/>
            </w:tcMar>
            <w:shd w:fill="0B1F3A"/>
          </w:tcPr>
          <w:p>
            <w:r>
              <w:rPr>
                <w:b/>
                <w:color w:val="FFFFFF"/>
              </w:rPr>
              <w:t>Environment</w:t>
            </w:r>
          </w:p>
        </w:tc>
        <w:tc>
          <w:tcPr>
            <w:tcW w:type="dxa" w:w="5040"/>
            <w:vAlign w:val="center"/>
            <w:tcMar>
              <w:top w:w="80" w:type="dxa"/>
              <w:start w:w="90" w:type="dxa"/>
              <w:bottom w:w="80" w:type="dxa"/>
              <w:end w:w="90" w:type="dxa"/>
            </w:tcMar>
            <w:shd w:fill="F6F8FB"/>
          </w:tcPr>
          <w:p>
            <w:r>
              <w:t>Kali Linux VM with Docker-hosted Juice Shop</w:t>
            </w:r>
          </w:p>
        </w:tc>
      </w:tr>
      <w:tr>
        <w:tc>
          <w:tcPr>
            <w:tcW w:type="dxa" w:w="5040"/>
            <w:vAlign w:val="center"/>
            <w:tcMar>
              <w:top w:w="80" w:type="dxa"/>
              <w:start w:w="90" w:type="dxa"/>
              <w:bottom w:w="80" w:type="dxa"/>
              <w:end w:w="90" w:type="dxa"/>
            </w:tcMar>
            <w:shd w:fill="0B1F3A"/>
          </w:tcPr>
          <w:p>
            <w:r>
              <w:rPr>
                <w:b/>
                <w:color w:val="FFFFFF"/>
              </w:rPr>
              <w:t>Tools</w:t>
            </w:r>
          </w:p>
        </w:tc>
        <w:tc>
          <w:tcPr>
            <w:tcW w:type="dxa" w:w="5040"/>
            <w:vAlign w:val="center"/>
            <w:tcMar>
              <w:top w:w="80" w:type="dxa"/>
              <w:start w:w="90" w:type="dxa"/>
              <w:bottom w:w="80" w:type="dxa"/>
              <w:end w:w="90" w:type="dxa"/>
            </w:tcMar>
            <w:shd w:fill="F6F8FB"/>
          </w:tcPr>
          <w:p>
            <w:r>
              <w:t>Nmap, WhatWeb, Nikto, cURL, Burp Suite Professional</w:t>
            </w:r>
          </w:p>
        </w:tc>
      </w:tr>
      <w:tr>
        <w:tc>
          <w:tcPr>
            <w:tcW w:type="dxa" w:w="5040"/>
            <w:vAlign w:val="center"/>
            <w:tcMar>
              <w:top w:w="80" w:type="dxa"/>
              <w:start w:w="90" w:type="dxa"/>
              <w:bottom w:w="80" w:type="dxa"/>
              <w:end w:w="90" w:type="dxa"/>
            </w:tcMar>
            <w:shd w:fill="0B1F3A"/>
          </w:tcPr>
          <w:p>
            <w:r>
              <w:rPr>
                <w:b/>
                <w:color w:val="FFFFFF"/>
              </w:rPr>
              <w:t>Assessment date</w:t>
            </w:r>
          </w:p>
        </w:tc>
        <w:tc>
          <w:tcPr>
            <w:tcW w:type="dxa" w:w="5040"/>
            <w:vAlign w:val="center"/>
            <w:tcMar>
              <w:top w:w="80" w:type="dxa"/>
              <w:start w:w="90" w:type="dxa"/>
              <w:bottom w:w="80" w:type="dxa"/>
              <w:end w:w="90" w:type="dxa"/>
            </w:tcMar>
            <w:shd w:fill="F6F8FB"/>
          </w:tcPr>
          <w:p>
            <w:r>
              <w:t>01 October 2026</w:t>
            </w:r>
          </w:p>
        </w:tc>
      </w:tr>
      <w:tr>
        <w:tc>
          <w:tcPr>
            <w:tcW w:type="dxa" w:w="5040"/>
            <w:vAlign w:val="center"/>
            <w:tcMar>
              <w:top w:w="80" w:type="dxa"/>
              <w:start w:w="90" w:type="dxa"/>
              <w:bottom w:w="80" w:type="dxa"/>
              <w:end w:w="90" w:type="dxa"/>
            </w:tcMar>
            <w:shd w:fill="0B1F3A"/>
          </w:tcPr>
          <w:p>
            <w:r>
              <w:rPr>
                <w:b/>
                <w:color w:val="FFFFFF"/>
              </w:rPr>
              <w:t>Scope constraint</w:t>
            </w:r>
          </w:p>
        </w:tc>
        <w:tc>
          <w:tcPr>
            <w:tcW w:type="dxa" w:w="5040"/>
            <w:vAlign w:val="center"/>
            <w:tcMar>
              <w:top w:w="80" w:type="dxa"/>
              <w:start w:w="90" w:type="dxa"/>
              <w:bottom w:w="80" w:type="dxa"/>
              <w:end w:w="90" w:type="dxa"/>
            </w:tcMar>
            <w:shd w:fill="F6F8FB"/>
          </w:tcPr>
          <w:p>
            <w:r>
              <w:t>Loopback lab target only; intentionally vulnerable application</w:t>
            </w:r>
          </w:p>
        </w:tc>
      </w:tr>
    </w:tbl>
    <w:tbl>
      <w:tblPr>
        <w:tblW w:type="auto" w:w="0"/>
        <w:jc w:val="center"/>
        <w:tblLook w:firstColumn="1" w:firstRow="1" w:lastColumn="0" w:lastRow="0" w:noHBand="0" w:noVBand="1" w:val="04A0"/>
      </w:tblPr>
      <w:tblGrid>
        <w:gridCol w:w="10080"/>
      </w:tblGrid>
      <w:tr>
        <w:tc>
          <w:tcPr>
            <w:tcW w:type="dxa" w:w="10080"/>
            <w:shd w:fill="EEF4FF"/>
            <w:tcMar>
              <w:top w:w="120" w:type="dxa"/>
              <w:start w:w="150" w:type="dxa"/>
              <w:bottom w:w="120" w:type="dxa"/>
              <w:end w:w="150" w:type="dxa"/>
            </w:tcMar>
            <w:vAlign w:val="center"/>
          </w:tcPr>
          <w:p>
            <w:r>
              <w:rPr>
                <w:b/>
                <w:color w:val="2F5AA8"/>
                <w:sz w:val="22"/>
              </w:rPr>
              <w:t>AUTHORIZED LAB NOTICE</w:t>
            </w:r>
          </w:p>
          <w:p>
            <w:pPr>
              <w:spacing w:after="0"/>
            </w:pPr>
            <w:r>
              <w:rPr>
                <w:sz w:val="19"/>
              </w:rPr>
              <w:t>All testing documented in this report was performed against the intentionally vulnerable OWASP Juice Shop application running on the local loopback interface (127.0.0.1). No third-party or production systems were intentionally targeted.</w:t>
            </w:r>
          </w:p>
        </w:tc>
      </w:tr>
    </w:tbl>
    <w:p>
      <w:pPr>
        <w:jc w:val="center"/>
      </w:pPr>
      <w:r>
        <w:rPr>
          <w:i/>
          <w:color w:val="5A626C"/>
          <w:sz w:val="18"/>
        </w:rPr>
        <w:t>Prepared for cybersecurity portfolio use</w:t>
      </w:r>
    </w:p>
    <w:p>
      <w:r>
        <w:br w:type="page"/>
      </w:r>
    </w:p>
    <w:p>
      <w:pPr>
        <w:pStyle w:val="Heading1"/>
      </w:pPr>
      <w:r>
        <w:t>1. Executive Summary</w:t>
      </w:r>
    </w:p>
    <w:p>
      <w:r>
        <w:t>This assessment evaluated an intentionally vulnerable OWASP Juice Shop deployment hosted locally on 127.0.0.1:3000. Testing combined reconnaissance, manual web testing, controlled exploitation, and Burp Suite Professional passive/active analysis.</w:t>
      </w:r>
    </w:p>
    <w:p>
      <w:r>
        <w:t>Six meaningful security findings were documented: one critical SQL injection authentication bypass, one high-impact broken object level authorization/IDOR, two medium findings (client-side XSS and sensitive file exposure), and two lower-impact configuration/information disclosure findings (verbose errors and permissive CORS). Severity is an internal assessment based on the demonstrated impact in this lab and is not a CVSS score.</w:t>
      </w:r>
    </w:p>
    <w:tbl>
      <w:tblPr>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20"/>
        <w:gridCol w:w="2520"/>
        <w:gridCol w:w="2520"/>
        <w:gridCol w:w="2520"/>
      </w:tblGrid>
      <w:tr>
        <w:trPr>
          <w:tblHeader w:val="true"/>
        </w:trPr>
        <w:tc>
          <w:tcPr>
            <w:tcW w:type="dxa" w:w="2520"/>
            <w:shd w:fill="0B1F3A"/>
            <w:tcMar>
              <w:top w:w="80" w:type="dxa"/>
              <w:start w:w="90" w:type="dxa"/>
              <w:bottom w:w="80" w:type="dxa"/>
              <w:end w:w="90" w:type="dxa"/>
            </w:tcMar>
            <w:vAlign w:val="center"/>
          </w:tcPr>
          <w:p>
            <w:r>
              <w:rPr>
                <w:b/>
                <w:color w:val="FFFFFF"/>
              </w:rPr>
              <w:t>ID</w:t>
            </w:r>
          </w:p>
        </w:tc>
        <w:tc>
          <w:tcPr>
            <w:tcW w:type="dxa" w:w="2520"/>
            <w:shd w:fill="0B1F3A"/>
            <w:tcMar>
              <w:top w:w="80" w:type="dxa"/>
              <w:start w:w="90" w:type="dxa"/>
              <w:bottom w:w="80" w:type="dxa"/>
              <w:end w:w="90" w:type="dxa"/>
            </w:tcMar>
            <w:vAlign w:val="center"/>
          </w:tcPr>
          <w:p>
            <w:r>
              <w:rPr>
                <w:b/>
                <w:color w:val="FFFFFF"/>
              </w:rPr>
              <w:t>Finding</w:t>
            </w:r>
          </w:p>
        </w:tc>
        <w:tc>
          <w:tcPr>
            <w:tcW w:type="dxa" w:w="2520"/>
            <w:shd w:fill="0B1F3A"/>
            <w:tcMar>
              <w:top w:w="80" w:type="dxa"/>
              <w:start w:w="90" w:type="dxa"/>
              <w:bottom w:w="80" w:type="dxa"/>
              <w:end w:w="90" w:type="dxa"/>
            </w:tcMar>
            <w:vAlign w:val="center"/>
          </w:tcPr>
          <w:p>
            <w:r>
              <w:rPr>
                <w:b/>
                <w:color w:val="FFFFFF"/>
              </w:rPr>
              <w:t>Severity</w:t>
            </w:r>
          </w:p>
        </w:tc>
        <w:tc>
          <w:tcPr>
            <w:tcW w:type="dxa" w:w="2520"/>
            <w:shd w:fill="0B1F3A"/>
            <w:tcMar>
              <w:top w:w="80" w:type="dxa"/>
              <w:start w:w="90" w:type="dxa"/>
              <w:bottom w:w="80" w:type="dxa"/>
              <w:end w:w="90" w:type="dxa"/>
            </w:tcMar>
            <w:vAlign w:val="center"/>
          </w:tcPr>
          <w:p>
            <w:r>
              <w:rPr>
                <w:b/>
                <w:color w:val="FFFFFF"/>
              </w:rPr>
              <w:t>Primary OWASP 2025 category</w:t>
            </w:r>
          </w:p>
        </w:tc>
      </w:tr>
      <w:tr>
        <w:tc>
          <w:tcPr>
            <w:tcW w:type="dxa" w:w="2520"/>
            <w:tcMar>
              <w:top w:w="80" w:type="dxa"/>
              <w:start w:w="90" w:type="dxa"/>
              <w:bottom w:w="80" w:type="dxa"/>
              <w:end w:w="90" w:type="dxa"/>
            </w:tcMar>
            <w:vAlign w:val="center"/>
          </w:tcPr>
          <w:p>
            <w:r>
              <w:t>VULN-01</w:t>
            </w:r>
          </w:p>
        </w:tc>
        <w:tc>
          <w:tcPr>
            <w:tcW w:type="dxa" w:w="2520"/>
            <w:tcMar>
              <w:top w:w="80" w:type="dxa"/>
              <w:start w:w="90" w:type="dxa"/>
              <w:bottom w:w="80" w:type="dxa"/>
              <w:end w:w="90" w:type="dxa"/>
            </w:tcMar>
            <w:vAlign w:val="center"/>
          </w:tcPr>
          <w:p>
            <w:r>
              <w:t>SQL Injection / Authentication Bypass</w:t>
            </w:r>
          </w:p>
        </w:tc>
        <w:tc>
          <w:tcPr>
            <w:tcW w:type="dxa" w:w="2520"/>
            <w:tcMar>
              <w:top w:w="80" w:type="dxa"/>
              <w:start w:w="90" w:type="dxa"/>
              <w:bottom w:w="80" w:type="dxa"/>
              <w:end w:w="90" w:type="dxa"/>
            </w:tcMar>
            <w:shd w:fill="FDECEC"/>
            <w:vAlign w:val="center"/>
          </w:tcPr>
          <w:p>
            <w:r>
              <w:t>Critical</w:t>
            </w:r>
          </w:p>
        </w:tc>
        <w:tc>
          <w:tcPr>
            <w:tcW w:type="dxa" w:w="2520"/>
            <w:tcMar>
              <w:top w:w="80" w:type="dxa"/>
              <w:start w:w="90" w:type="dxa"/>
              <w:bottom w:w="80" w:type="dxa"/>
              <w:end w:w="90" w:type="dxa"/>
            </w:tcMar>
            <w:vAlign w:val="center"/>
          </w:tcPr>
          <w:p>
            <w:r>
              <w:t>A05 Injection</w:t>
            </w:r>
          </w:p>
        </w:tc>
      </w:tr>
      <w:tr>
        <w:tc>
          <w:tcPr>
            <w:tcW w:type="dxa" w:w="2520"/>
            <w:tcMar>
              <w:top w:w="80" w:type="dxa"/>
              <w:start w:w="90" w:type="dxa"/>
              <w:bottom w:w="80" w:type="dxa"/>
              <w:end w:w="90" w:type="dxa"/>
            </w:tcMar>
            <w:vAlign w:val="center"/>
          </w:tcPr>
          <w:p>
            <w:r>
              <w:t>VULN-02</w:t>
            </w:r>
          </w:p>
        </w:tc>
        <w:tc>
          <w:tcPr>
            <w:tcW w:type="dxa" w:w="2520"/>
            <w:tcMar>
              <w:top w:w="80" w:type="dxa"/>
              <w:start w:w="90" w:type="dxa"/>
              <w:bottom w:w="80" w:type="dxa"/>
              <w:end w:w="90" w:type="dxa"/>
            </w:tcMar>
            <w:vAlign w:val="center"/>
          </w:tcPr>
          <w:p>
            <w:r>
              <w:t>IDOR / Broken Object Level Authorization</w:t>
            </w:r>
          </w:p>
        </w:tc>
        <w:tc>
          <w:tcPr>
            <w:tcW w:type="dxa" w:w="2520"/>
            <w:tcMar>
              <w:top w:w="80" w:type="dxa"/>
              <w:start w:w="90" w:type="dxa"/>
              <w:bottom w:w="80" w:type="dxa"/>
              <w:end w:w="90" w:type="dxa"/>
            </w:tcMar>
            <w:shd w:fill="FFF1E8"/>
            <w:vAlign w:val="center"/>
          </w:tcPr>
          <w:p>
            <w:r>
              <w:t>High</w:t>
            </w:r>
          </w:p>
        </w:tc>
        <w:tc>
          <w:tcPr>
            <w:tcW w:type="dxa" w:w="2520"/>
            <w:tcMar>
              <w:top w:w="80" w:type="dxa"/>
              <w:start w:w="90" w:type="dxa"/>
              <w:bottom w:w="80" w:type="dxa"/>
              <w:end w:w="90" w:type="dxa"/>
            </w:tcMar>
            <w:vAlign w:val="center"/>
          </w:tcPr>
          <w:p>
            <w:r>
              <w:t>A01 Broken Access Control</w:t>
            </w:r>
          </w:p>
        </w:tc>
      </w:tr>
      <w:tr>
        <w:tc>
          <w:tcPr>
            <w:tcW w:type="dxa" w:w="2520"/>
            <w:tcMar>
              <w:top w:w="80" w:type="dxa"/>
              <w:start w:w="90" w:type="dxa"/>
              <w:bottom w:w="80" w:type="dxa"/>
              <w:end w:w="90" w:type="dxa"/>
            </w:tcMar>
            <w:vAlign w:val="center"/>
          </w:tcPr>
          <w:p>
            <w:r>
              <w:t>VULN-03</w:t>
            </w:r>
          </w:p>
        </w:tc>
        <w:tc>
          <w:tcPr>
            <w:tcW w:type="dxa" w:w="2520"/>
            <w:tcMar>
              <w:top w:w="80" w:type="dxa"/>
              <w:start w:w="90" w:type="dxa"/>
              <w:bottom w:w="80" w:type="dxa"/>
              <w:end w:w="90" w:type="dxa"/>
            </w:tcMar>
            <w:vAlign w:val="center"/>
          </w:tcPr>
          <w:p>
            <w:r>
              <w:t>Client-side XSS</w:t>
            </w:r>
          </w:p>
        </w:tc>
        <w:tc>
          <w:tcPr>
            <w:tcW w:type="dxa" w:w="2520"/>
            <w:tcMar>
              <w:top w:w="80" w:type="dxa"/>
              <w:start w:w="90" w:type="dxa"/>
              <w:bottom w:w="80" w:type="dxa"/>
              <w:end w:w="90" w:type="dxa"/>
            </w:tcMar>
            <w:shd w:fill="FFF8DD"/>
            <w:vAlign w:val="center"/>
          </w:tcPr>
          <w:p>
            <w:r>
              <w:t>Medium</w:t>
            </w:r>
          </w:p>
        </w:tc>
        <w:tc>
          <w:tcPr>
            <w:tcW w:type="dxa" w:w="2520"/>
            <w:tcMar>
              <w:top w:w="80" w:type="dxa"/>
              <w:start w:w="90" w:type="dxa"/>
              <w:bottom w:w="80" w:type="dxa"/>
              <w:end w:w="90" w:type="dxa"/>
            </w:tcMar>
            <w:vAlign w:val="center"/>
          </w:tcPr>
          <w:p>
            <w:r>
              <w:t>A05 Injection</w:t>
            </w:r>
          </w:p>
        </w:tc>
      </w:tr>
      <w:tr>
        <w:tc>
          <w:tcPr>
            <w:tcW w:type="dxa" w:w="2520"/>
            <w:tcMar>
              <w:top w:w="80" w:type="dxa"/>
              <w:start w:w="90" w:type="dxa"/>
              <w:bottom w:w="80" w:type="dxa"/>
              <w:end w:w="90" w:type="dxa"/>
            </w:tcMar>
            <w:vAlign w:val="center"/>
          </w:tcPr>
          <w:p>
            <w:r>
              <w:t>VULN-04</w:t>
            </w:r>
          </w:p>
        </w:tc>
        <w:tc>
          <w:tcPr>
            <w:tcW w:type="dxa" w:w="2520"/>
            <w:tcMar>
              <w:top w:w="80" w:type="dxa"/>
              <w:start w:w="90" w:type="dxa"/>
              <w:bottom w:w="80" w:type="dxa"/>
              <w:end w:w="90" w:type="dxa"/>
            </w:tcMar>
            <w:vAlign w:val="center"/>
          </w:tcPr>
          <w:p>
            <w:r>
              <w:t>Sensitive File Exposure via /ftp</w:t>
            </w:r>
          </w:p>
        </w:tc>
        <w:tc>
          <w:tcPr>
            <w:tcW w:type="dxa" w:w="2520"/>
            <w:tcMar>
              <w:top w:w="80" w:type="dxa"/>
              <w:start w:w="90" w:type="dxa"/>
              <w:bottom w:w="80" w:type="dxa"/>
              <w:end w:w="90" w:type="dxa"/>
            </w:tcMar>
            <w:shd w:fill="FFF8DD"/>
            <w:vAlign w:val="center"/>
          </w:tcPr>
          <w:p>
            <w:r>
              <w:t>Medium</w:t>
            </w:r>
          </w:p>
        </w:tc>
        <w:tc>
          <w:tcPr>
            <w:tcW w:type="dxa" w:w="2520"/>
            <w:tcMar>
              <w:top w:w="80" w:type="dxa"/>
              <w:start w:w="90" w:type="dxa"/>
              <w:bottom w:w="80" w:type="dxa"/>
              <w:end w:w="90" w:type="dxa"/>
            </w:tcMar>
            <w:vAlign w:val="center"/>
          </w:tcPr>
          <w:p>
            <w:r>
              <w:t>A01 Broken Access Control</w:t>
            </w:r>
          </w:p>
        </w:tc>
      </w:tr>
      <w:tr>
        <w:tc>
          <w:tcPr>
            <w:tcW w:type="dxa" w:w="2520"/>
            <w:tcMar>
              <w:top w:w="80" w:type="dxa"/>
              <w:start w:w="90" w:type="dxa"/>
              <w:bottom w:w="80" w:type="dxa"/>
              <w:end w:w="90" w:type="dxa"/>
            </w:tcMar>
            <w:vAlign w:val="center"/>
          </w:tcPr>
          <w:p>
            <w:r>
              <w:t>VULN-05</w:t>
            </w:r>
          </w:p>
        </w:tc>
        <w:tc>
          <w:tcPr>
            <w:tcW w:type="dxa" w:w="2520"/>
            <w:tcMar>
              <w:top w:w="80" w:type="dxa"/>
              <w:start w:w="90" w:type="dxa"/>
              <w:bottom w:w="80" w:type="dxa"/>
              <w:end w:w="90" w:type="dxa"/>
            </w:tcMar>
            <w:vAlign w:val="center"/>
          </w:tcPr>
          <w:p>
            <w:r>
              <w:t>Verbose Error / Stack Trace Disclosure</w:t>
            </w:r>
          </w:p>
        </w:tc>
        <w:tc>
          <w:tcPr>
            <w:tcW w:type="dxa" w:w="2520"/>
            <w:tcMar>
              <w:top w:w="80" w:type="dxa"/>
              <w:start w:w="90" w:type="dxa"/>
              <w:bottom w:w="80" w:type="dxa"/>
              <w:end w:w="90" w:type="dxa"/>
            </w:tcMar>
            <w:shd w:fill="EEF2F6"/>
            <w:vAlign w:val="center"/>
          </w:tcPr>
          <w:p>
            <w:r>
              <w:t>Low-Medium</w:t>
            </w:r>
          </w:p>
        </w:tc>
        <w:tc>
          <w:tcPr>
            <w:tcW w:type="dxa" w:w="2520"/>
            <w:tcMar>
              <w:top w:w="80" w:type="dxa"/>
              <w:start w:w="90" w:type="dxa"/>
              <w:bottom w:w="80" w:type="dxa"/>
              <w:end w:w="90" w:type="dxa"/>
            </w:tcMar>
            <w:vAlign w:val="center"/>
          </w:tcPr>
          <w:p>
            <w:r>
              <w:t>A10 Mishandling of Exceptional Conditions</w:t>
            </w:r>
          </w:p>
        </w:tc>
      </w:tr>
      <w:tr>
        <w:tc>
          <w:tcPr>
            <w:tcW w:type="dxa" w:w="2520"/>
            <w:tcMar>
              <w:top w:w="80" w:type="dxa"/>
              <w:start w:w="90" w:type="dxa"/>
              <w:bottom w:w="80" w:type="dxa"/>
              <w:end w:w="90" w:type="dxa"/>
            </w:tcMar>
            <w:vAlign w:val="center"/>
          </w:tcPr>
          <w:p>
            <w:r>
              <w:t>VULN-06</w:t>
            </w:r>
          </w:p>
        </w:tc>
        <w:tc>
          <w:tcPr>
            <w:tcW w:type="dxa" w:w="2520"/>
            <w:tcMar>
              <w:top w:w="80" w:type="dxa"/>
              <w:start w:w="90" w:type="dxa"/>
              <w:bottom w:w="80" w:type="dxa"/>
              <w:end w:w="90" w:type="dxa"/>
            </w:tcMar>
            <w:vAlign w:val="center"/>
          </w:tcPr>
          <w:p>
            <w:r>
              <w:t>Permissive CORS / Arbitrary Origin Trusted</w:t>
            </w:r>
          </w:p>
        </w:tc>
        <w:tc>
          <w:tcPr>
            <w:tcW w:type="dxa" w:w="2520"/>
            <w:tcMar>
              <w:top w:w="80" w:type="dxa"/>
              <w:start w:w="90" w:type="dxa"/>
              <w:bottom w:w="80" w:type="dxa"/>
              <w:end w:w="90" w:type="dxa"/>
            </w:tcMar>
            <w:shd w:fill="EEF2F6"/>
            <w:vAlign w:val="center"/>
          </w:tcPr>
          <w:p>
            <w:r>
              <w:t>Low-Medium</w:t>
            </w:r>
          </w:p>
        </w:tc>
        <w:tc>
          <w:tcPr>
            <w:tcW w:type="dxa" w:w="2520"/>
            <w:tcMar>
              <w:top w:w="80" w:type="dxa"/>
              <w:start w:w="90" w:type="dxa"/>
              <w:bottom w:w="80" w:type="dxa"/>
              <w:end w:w="90" w:type="dxa"/>
            </w:tcMar>
            <w:vAlign w:val="center"/>
          </w:tcPr>
          <w:p>
            <w:r>
              <w:t>A02 Security Misconfiguration</w:t>
            </w:r>
          </w:p>
        </w:tc>
      </w:tr>
    </w:tbl>
    <w:tbl>
      <w:tblPr>
        <w:tblW w:type="auto" w:w="0"/>
        <w:jc w:val="center"/>
        <w:tblLook w:firstColumn="1" w:firstRow="1" w:lastColumn="0" w:lastRow="0" w:noHBand="0" w:noVBand="1" w:val="04A0"/>
      </w:tblPr>
      <w:tblGrid>
        <w:gridCol w:w="10080"/>
      </w:tblGrid>
      <w:tr>
        <w:tc>
          <w:tcPr>
            <w:tcW w:type="dxa" w:w="10080"/>
            <w:shd w:fill="EEF4FF"/>
            <w:tcMar>
              <w:top w:w="120" w:type="dxa"/>
              <w:start w:w="150" w:type="dxa"/>
              <w:bottom w:w="120" w:type="dxa"/>
              <w:end w:w="150" w:type="dxa"/>
            </w:tcMar>
            <w:vAlign w:val="center"/>
          </w:tcPr>
          <w:p>
            <w:r>
              <w:rPr>
                <w:b/>
                <w:color w:val="2F5AA8"/>
                <w:sz w:val="22"/>
              </w:rPr>
              <w:t>Overall assessment</w:t>
            </w:r>
          </w:p>
          <w:p>
            <w:pPr>
              <w:spacing w:after="0"/>
            </w:pPr>
            <w:r>
              <w:rPr>
                <w:sz w:val="19"/>
              </w:rPr>
              <w:t>The strongest demonstrated attack paths are authentication bypass through SQL injection and unauthorized cross-user object access through the user API. Client-side XSS provides browser-side code execution, while file exposure, verbose errors, and permissive CORS increase the attack surface and reconnaissance value.</w:t>
            </w:r>
          </w:p>
        </w:tc>
      </w:tr>
    </w:tbl>
    <w:p>
      <w:r>
        <w:br w:type="page"/>
      </w:r>
    </w:p>
    <w:p>
      <w:pPr>
        <w:pStyle w:val="Heading1"/>
      </w:pPr>
      <w:r>
        <w:t>2. Scope and Rules of Engagement</w:t>
      </w:r>
    </w:p>
    <w:p>
      <w:r>
        <w:rPr>
          <w:b/>
        </w:rPr>
        <w:t xml:space="preserve">In-scope target: </w:t>
      </w:r>
      <w:r>
        <w:t>http://127.0.0.1:3000 and the OWASP Juice Shop instance exposed by the local Docker container.</w:t>
      </w:r>
    </w:p>
    <w:p>
      <w:r>
        <w:rPr>
          <w:b/>
        </w:rPr>
        <w:t xml:space="preserve">Authorization: </w:t>
      </w:r>
      <w:r>
        <w:t>Testing was limited to the user-controlled lab environment and the deliberately vulnerable Juice Shop target.</w:t>
      </w:r>
    </w:p>
    <w:p>
      <w:r>
        <w:rPr>
          <w:b/>
        </w:rPr>
        <w:t xml:space="preserve">Out-of-scope: </w:t>
      </w:r>
      <w:r>
        <w:t>External domains, third-party services, production systems, and any non-loopback targets were not intentionally tested.</w:t>
      </w:r>
    </w:p>
    <w:p>
      <w:r>
        <w:rPr>
          <w:b/>
        </w:rPr>
        <w:t xml:space="preserve">Testing approach: </w:t>
      </w:r>
      <w:r>
        <w:t>Reconnaissance followed by controlled manual validation. Findings were retained only when behavior could be demonstrated or was clearly identified by Burp against the scoped target.</w:t>
      </w:r>
    </w:p>
    <w:p>
      <w:r>
        <w:rPr>
          <w:b/>
        </w:rPr>
        <w:t xml:space="preserve">Data handling: </w:t>
      </w:r>
      <w:r>
        <w:t>No real user data was intentionally targeted. A dedicated synthetic customer account was created to validate the IDOR scenario.</w:t>
      </w:r>
    </w:p>
    <w:p>
      <w:pPr>
        <w:pStyle w:val="Heading1"/>
      </w:pPr>
      <w:r>
        <w:t>3. Lab Architecture</w:t>
      </w:r>
    </w:p>
    <w:p>
      <w:r>
        <w:t>The lab was designed to keep the vulnerable target isolated and repeatable. Kali Linux acted as the assessment workstation; Docker hosted the Juice Shop application; Burp Suite intercepted HTTP traffic for request inspection and scanning.</w:t>
      </w:r>
    </w:p>
    <w:tbl>
      <w:tblPr>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360"/>
        <w:gridCol w:w="3360"/>
        <w:gridCol w:w="3360"/>
      </w:tblGrid>
      <w:tr>
        <w:trPr>
          <w:tblHeader w:val="true"/>
        </w:trPr>
        <w:tc>
          <w:tcPr>
            <w:tcW w:type="dxa" w:w="3360"/>
            <w:shd w:fill="0B1F3A"/>
            <w:tcMar>
              <w:top w:w="80" w:type="dxa"/>
              <w:start w:w="90" w:type="dxa"/>
              <w:bottom w:w="80" w:type="dxa"/>
              <w:end w:w="90" w:type="dxa"/>
            </w:tcMar>
            <w:vAlign w:val="center"/>
          </w:tcPr>
          <w:p>
            <w:r>
              <w:rPr>
                <w:b/>
                <w:color w:val="FFFFFF"/>
              </w:rPr>
              <w:t>Layer</w:t>
            </w:r>
          </w:p>
        </w:tc>
        <w:tc>
          <w:tcPr>
            <w:tcW w:type="dxa" w:w="3360"/>
            <w:shd w:fill="0B1F3A"/>
            <w:tcMar>
              <w:top w:w="80" w:type="dxa"/>
              <w:start w:w="90" w:type="dxa"/>
              <w:bottom w:w="80" w:type="dxa"/>
              <w:end w:w="90" w:type="dxa"/>
            </w:tcMar>
            <w:vAlign w:val="center"/>
          </w:tcPr>
          <w:p>
            <w:r>
              <w:rPr>
                <w:b/>
                <w:color w:val="FFFFFF"/>
              </w:rPr>
              <w:t>Component</w:t>
            </w:r>
          </w:p>
        </w:tc>
        <w:tc>
          <w:tcPr>
            <w:tcW w:type="dxa" w:w="3360"/>
            <w:shd w:fill="0B1F3A"/>
            <w:tcMar>
              <w:top w:w="80" w:type="dxa"/>
              <w:start w:w="90" w:type="dxa"/>
              <w:bottom w:w="80" w:type="dxa"/>
              <w:end w:w="90" w:type="dxa"/>
            </w:tcMar>
            <w:vAlign w:val="center"/>
          </w:tcPr>
          <w:p>
            <w:r>
              <w:rPr>
                <w:b/>
                <w:color w:val="FFFFFF"/>
              </w:rPr>
              <w:t>Role</w:t>
            </w:r>
          </w:p>
        </w:tc>
      </w:tr>
      <w:tr>
        <w:tc>
          <w:tcPr>
            <w:tcW w:type="dxa" w:w="3360"/>
            <w:vAlign w:val="center"/>
          </w:tcPr>
          <w:p/>
        </w:tc>
        <w:tc>
          <w:tcPr>
            <w:tcW w:type="dxa" w:w="3360"/>
            <w:vAlign w:val="center"/>
          </w:tcPr>
          <w:p/>
        </w:tc>
        <w:tc>
          <w:tcPr>
            <w:tcW w:type="dxa" w:w="3360"/>
            <w:vAlign w:val="center"/>
          </w:tcPr>
          <w:p/>
        </w:tc>
      </w:tr>
      <w:tr>
        <w:tc>
          <w:tcPr>
            <w:tcW w:type="dxa" w:w="3360"/>
            <w:vAlign w:val="center"/>
          </w:tcPr>
          <w:p/>
        </w:tc>
        <w:tc>
          <w:tcPr>
            <w:tcW w:type="dxa" w:w="3360"/>
            <w:vAlign w:val="center"/>
          </w:tcPr>
          <w:p/>
        </w:tc>
        <w:tc>
          <w:tcPr>
            <w:tcW w:type="dxa" w:w="3360"/>
            <w:vAlign w:val="center"/>
          </w:tcPr>
          <w:p/>
        </w:tc>
      </w:tr>
      <w:tr>
        <w:tc>
          <w:tcPr>
            <w:tcW w:type="dxa" w:w="3360"/>
            <w:tcMar>
              <w:top w:w="80" w:type="dxa"/>
              <w:start w:w="90" w:type="dxa"/>
              <w:bottom w:w="80" w:type="dxa"/>
              <w:end w:w="90" w:type="dxa"/>
            </w:tcMar>
            <w:vAlign w:val="center"/>
          </w:tcPr>
          <w:p>
            <w:r>
              <w:t>Analyst</w:t>
            </w:r>
          </w:p>
        </w:tc>
        <w:tc>
          <w:tcPr>
            <w:tcW w:type="dxa" w:w="3360"/>
            <w:tcMar>
              <w:top w:w="80" w:type="dxa"/>
              <w:start w:w="90" w:type="dxa"/>
              <w:bottom w:w="80" w:type="dxa"/>
              <w:end w:w="90" w:type="dxa"/>
            </w:tcMar>
            <w:vAlign w:val="center"/>
          </w:tcPr>
          <w:p>
            <w:r>
              <w:t>Kali Linux</w:t>
            </w:r>
          </w:p>
        </w:tc>
        <w:tc>
          <w:tcPr>
            <w:tcW w:type="dxa" w:w="3360"/>
            <w:tcMar>
              <w:top w:w="80" w:type="dxa"/>
              <w:start w:w="90" w:type="dxa"/>
              <w:bottom w:w="80" w:type="dxa"/>
              <w:end w:w="90" w:type="dxa"/>
            </w:tcMar>
            <w:vAlign w:val="center"/>
          </w:tcPr>
          <w:p>
            <w:r>
              <w:t>Recon, cURL, Nmap, WhatWeb, Nikto, Burp Suite Professional</w:t>
            </w:r>
          </w:p>
        </w:tc>
      </w:tr>
      <w:tr>
        <w:tc>
          <w:tcPr>
            <w:tcW w:type="dxa" w:w="3360"/>
            <w:tcMar>
              <w:top w:w="80" w:type="dxa"/>
              <w:start w:w="90" w:type="dxa"/>
              <w:bottom w:w="80" w:type="dxa"/>
              <w:end w:w="90" w:type="dxa"/>
            </w:tcMar>
            <w:vAlign w:val="center"/>
          </w:tcPr>
          <w:p>
            <w:r>
              <w:t>Proxy</w:t>
            </w:r>
          </w:p>
        </w:tc>
        <w:tc>
          <w:tcPr>
            <w:tcW w:type="dxa" w:w="3360"/>
            <w:tcMar>
              <w:top w:w="80" w:type="dxa"/>
              <w:start w:w="90" w:type="dxa"/>
              <w:bottom w:w="80" w:type="dxa"/>
              <w:end w:w="90" w:type="dxa"/>
            </w:tcMar>
            <w:vAlign w:val="center"/>
          </w:tcPr>
          <w:p>
            <w:r>
              <w:t>Burp Suite Professional</w:t>
            </w:r>
          </w:p>
        </w:tc>
        <w:tc>
          <w:tcPr>
            <w:tcW w:type="dxa" w:w="3360"/>
            <w:tcMar>
              <w:top w:w="80" w:type="dxa"/>
              <w:start w:w="90" w:type="dxa"/>
              <w:bottom w:w="80" w:type="dxa"/>
              <w:end w:w="90" w:type="dxa"/>
            </w:tcMar>
            <w:vAlign w:val="center"/>
          </w:tcPr>
          <w:p>
            <w:r>
              <w:t>HTTP interception, Repeater, crawl/audit, issue detection</w:t>
            </w:r>
          </w:p>
        </w:tc>
      </w:tr>
      <w:tr>
        <w:tc>
          <w:tcPr>
            <w:tcW w:type="dxa" w:w="3360"/>
            <w:tcMar>
              <w:top w:w="80" w:type="dxa"/>
              <w:start w:w="90" w:type="dxa"/>
              <w:bottom w:w="80" w:type="dxa"/>
              <w:end w:w="90" w:type="dxa"/>
            </w:tcMar>
            <w:vAlign w:val="center"/>
          </w:tcPr>
          <w:p>
            <w:r>
              <w:t>Target</w:t>
            </w:r>
          </w:p>
        </w:tc>
        <w:tc>
          <w:tcPr>
            <w:tcW w:type="dxa" w:w="3360"/>
            <w:tcMar>
              <w:top w:w="80" w:type="dxa"/>
              <w:start w:w="90" w:type="dxa"/>
              <w:bottom w:w="80" w:type="dxa"/>
              <w:end w:w="90" w:type="dxa"/>
            </w:tcMar>
            <w:vAlign w:val="center"/>
          </w:tcPr>
          <w:p>
            <w:r>
              <w:t>Docker: OWASP Juice Shop</w:t>
            </w:r>
          </w:p>
        </w:tc>
        <w:tc>
          <w:tcPr>
            <w:tcW w:type="dxa" w:w="3360"/>
            <w:tcMar>
              <w:top w:w="80" w:type="dxa"/>
              <w:start w:w="90" w:type="dxa"/>
              <w:bottom w:w="80" w:type="dxa"/>
              <w:end w:w="90" w:type="dxa"/>
            </w:tcMar>
            <w:vAlign w:val="center"/>
          </w:tcPr>
          <w:p>
            <w:r>
              <w:t>Intentionally vulnerable web application at 127.0.0.1:3000</w:t>
            </w:r>
          </w:p>
        </w:tc>
      </w:tr>
    </w:tbl>
    <w:p>
      <w:r>
        <w:br w:type="page"/>
      </w:r>
    </w:p>
    <w:p>
      <w:pPr>
        <w:pStyle w:val="Heading1"/>
      </w:pPr>
      <w:r>
        <w:t>4. Methodology and Tooling</w:t>
      </w:r>
    </w:p>
    <w:p>
      <w:pPr>
        <w:pStyle w:val="ListNumber"/>
      </w:pPr>
      <w:r>
        <w:rPr>
          <w:b/>
        </w:rPr>
        <w:t xml:space="preserve">Reconnaissance: </w:t>
      </w:r>
      <w:r>
        <w:t>Nmap service detection, WhatWeb application fingerprinting, robots.txt review, and endpoint discovery.</w:t>
      </w:r>
    </w:p>
    <w:p>
      <w:pPr>
        <w:pStyle w:val="ListNumber"/>
      </w:pPr>
      <w:r>
        <w:rPr>
          <w:b/>
        </w:rPr>
        <w:t xml:space="preserve">Web enumeration: </w:t>
      </w:r>
      <w:r>
        <w:t>Nikto and manual requests to interesting paths such as /ftp and error-handling endpoints.</w:t>
      </w:r>
    </w:p>
    <w:p>
      <w:pPr>
        <w:pStyle w:val="ListNumber"/>
      </w:pPr>
      <w:r>
        <w:rPr>
          <w:b/>
        </w:rPr>
        <w:t xml:space="preserve">Manual exploitation: </w:t>
      </w:r>
      <w:r>
        <w:t>Controlled tests for SQL injection, client-side XSS, and broken object level authorization.</w:t>
      </w:r>
    </w:p>
    <w:p>
      <w:pPr>
        <w:pStyle w:val="ListNumber"/>
      </w:pPr>
      <w:r>
        <w:rPr>
          <w:b/>
        </w:rPr>
        <w:t xml:space="preserve">Intercepted testing: </w:t>
      </w:r>
      <w:r>
        <w:t>Firefox was configured to use Burp on 127.0.0.1:8080. Juice Shop was added to scope and Burp Crawl and Audit was run with a Balanced configuration.</w:t>
      </w:r>
    </w:p>
    <w:p>
      <w:pPr>
        <w:pStyle w:val="ListNumber"/>
      </w:pPr>
      <w:r>
        <w:rPr>
          <w:b/>
        </w:rPr>
        <w:t xml:space="preserve">Evidence validation: </w:t>
      </w:r>
      <w:r>
        <w:t>Findings were retained only when the response, application behavior, or Burp issue data provided direct support. IDOR was validated using a synthetic customer account.</w:t>
      </w:r>
    </w:p>
    <w:p>
      <w:pPr>
        <w:pStyle w:val="ListNumber"/>
      </w:pPr>
      <w:r>
        <w:rPr>
          <w:b/>
        </w:rPr>
        <w:t xml:space="preserve">Reporting: </w:t>
      </w:r>
      <w:r>
        <w:t>Findings were mapped to the OWASP Top 10:2025 taxonomy with practical severity and remediation guidance.</w:t>
      </w:r>
    </w:p>
    <w:tbl>
      <w:tblPr>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360"/>
        <w:gridCol w:w="3360"/>
        <w:gridCol w:w="3360"/>
      </w:tblGrid>
      <w:tr>
        <w:tc>
          <w:tcPr>
            <w:tcW w:type="dxa" w:w="3360"/>
            <w:shd w:fill="0B1F3A"/>
            <w:vAlign w:val="center"/>
          </w:tcPr>
          <w:p>
            <w:r>
              <w:rPr>
                <w:b/>
                <w:color w:val="FFFFFF"/>
              </w:rPr>
              <w:t>Tool</w:t>
            </w:r>
          </w:p>
        </w:tc>
        <w:tc>
          <w:tcPr>
            <w:tcW w:type="dxa" w:w="3360"/>
            <w:shd w:fill="0B1F3A"/>
            <w:vAlign w:val="center"/>
          </w:tcPr>
          <w:p>
            <w:r>
              <w:rPr>
                <w:b/>
                <w:color w:val="FFFFFF"/>
              </w:rPr>
              <w:t>Observed version</w:t>
            </w:r>
          </w:p>
        </w:tc>
        <w:tc>
          <w:tcPr>
            <w:tcW w:type="dxa" w:w="3360"/>
            <w:shd w:fill="0B1F3A"/>
            <w:vAlign w:val="center"/>
          </w:tcPr>
          <w:p>
            <w:r>
              <w:rPr>
                <w:b/>
                <w:color w:val="FFFFFF"/>
              </w:rPr>
              <w:t>Use in assessment</w:t>
            </w:r>
          </w:p>
        </w:tc>
      </w:tr>
      <w:tr>
        <w:tc>
          <w:tcPr>
            <w:tcW w:type="dxa" w:w="3360"/>
            <w:tcMar>
              <w:top w:w="80" w:type="dxa"/>
              <w:start w:w="90" w:type="dxa"/>
              <w:bottom w:w="80" w:type="dxa"/>
              <w:end w:w="90" w:type="dxa"/>
            </w:tcMar>
            <w:vAlign w:val="center"/>
          </w:tcPr>
          <w:p>
            <w:r>
              <w:t>Nmap</w:t>
            </w:r>
          </w:p>
        </w:tc>
        <w:tc>
          <w:tcPr>
            <w:tcW w:type="dxa" w:w="3360"/>
            <w:tcMar>
              <w:top w:w="80" w:type="dxa"/>
              <w:start w:w="90" w:type="dxa"/>
              <w:bottom w:w="80" w:type="dxa"/>
              <w:end w:w="90" w:type="dxa"/>
            </w:tcMar>
            <w:vAlign w:val="center"/>
          </w:tcPr>
          <w:p>
            <w:r>
              <w:t>7.99</w:t>
            </w:r>
          </w:p>
        </w:tc>
        <w:tc>
          <w:tcPr>
            <w:tcW w:type="dxa" w:w="3360"/>
            <w:tcMar>
              <w:top w:w="80" w:type="dxa"/>
              <w:start w:w="90" w:type="dxa"/>
              <w:bottom w:w="80" w:type="dxa"/>
              <w:end w:w="90" w:type="dxa"/>
            </w:tcMar>
            <w:vAlign w:val="center"/>
          </w:tcPr>
          <w:p>
            <w:r>
              <w:t>Service/port enumeration</w:t>
            </w:r>
          </w:p>
        </w:tc>
      </w:tr>
      <w:tr>
        <w:tc>
          <w:tcPr>
            <w:tcW w:type="dxa" w:w="3360"/>
            <w:tcMar>
              <w:top w:w="80" w:type="dxa"/>
              <w:start w:w="90" w:type="dxa"/>
              <w:bottom w:w="80" w:type="dxa"/>
              <w:end w:w="90" w:type="dxa"/>
            </w:tcMar>
            <w:vAlign w:val="center"/>
          </w:tcPr>
          <w:p>
            <w:r>
              <w:t>WhatWeb</w:t>
            </w:r>
          </w:p>
        </w:tc>
        <w:tc>
          <w:tcPr>
            <w:tcW w:type="dxa" w:w="3360"/>
            <w:tcMar>
              <w:top w:w="80" w:type="dxa"/>
              <w:start w:w="90" w:type="dxa"/>
              <w:bottom w:w="80" w:type="dxa"/>
              <w:end w:w="90" w:type="dxa"/>
            </w:tcMar>
            <w:vAlign w:val="center"/>
          </w:tcPr>
          <w:p>
            <w:r>
              <w:t>Observed from Kali package</w:t>
            </w:r>
          </w:p>
        </w:tc>
        <w:tc>
          <w:tcPr>
            <w:tcW w:type="dxa" w:w="3360"/>
            <w:tcMar>
              <w:top w:w="80" w:type="dxa"/>
              <w:start w:w="90" w:type="dxa"/>
              <w:bottom w:w="80" w:type="dxa"/>
              <w:end w:w="90" w:type="dxa"/>
            </w:tcMar>
            <w:vAlign w:val="center"/>
          </w:tcPr>
          <w:p>
            <w:r>
              <w:t>Technology fingerprinting</w:t>
            </w:r>
          </w:p>
        </w:tc>
      </w:tr>
      <w:tr>
        <w:tc>
          <w:tcPr>
            <w:tcW w:type="dxa" w:w="3360"/>
            <w:tcMar>
              <w:top w:w="80" w:type="dxa"/>
              <w:start w:w="90" w:type="dxa"/>
              <w:bottom w:w="80" w:type="dxa"/>
              <w:end w:w="90" w:type="dxa"/>
            </w:tcMar>
            <w:vAlign w:val="center"/>
          </w:tcPr>
          <w:p>
            <w:r>
              <w:t>Nikto</w:t>
            </w:r>
          </w:p>
        </w:tc>
        <w:tc>
          <w:tcPr>
            <w:tcW w:type="dxa" w:w="3360"/>
            <w:tcMar>
              <w:top w:w="80" w:type="dxa"/>
              <w:start w:w="90" w:type="dxa"/>
              <w:bottom w:w="80" w:type="dxa"/>
              <w:end w:w="90" w:type="dxa"/>
            </w:tcMar>
            <w:vAlign w:val="center"/>
          </w:tcPr>
          <w:p>
            <w:r>
              <w:t>2.6.1</w:t>
            </w:r>
          </w:p>
        </w:tc>
        <w:tc>
          <w:tcPr>
            <w:tcW w:type="dxa" w:w="3360"/>
            <w:tcMar>
              <w:top w:w="80" w:type="dxa"/>
              <w:start w:w="90" w:type="dxa"/>
              <w:bottom w:w="80" w:type="dxa"/>
              <w:end w:w="90" w:type="dxa"/>
            </w:tcMar>
            <w:vAlign w:val="center"/>
          </w:tcPr>
          <w:p>
            <w:r>
              <w:t>Web server checks</w:t>
            </w:r>
          </w:p>
        </w:tc>
      </w:tr>
      <w:tr>
        <w:tc>
          <w:tcPr>
            <w:tcW w:type="dxa" w:w="3360"/>
            <w:tcMar>
              <w:top w:w="80" w:type="dxa"/>
              <w:start w:w="90" w:type="dxa"/>
              <w:bottom w:w="80" w:type="dxa"/>
              <w:end w:w="90" w:type="dxa"/>
            </w:tcMar>
            <w:vAlign w:val="center"/>
          </w:tcPr>
          <w:p>
            <w:r>
              <w:t>cURL</w:t>
            </w:r>
          </w:p>
        </w:tc>
        <w:tc>
          <w:tcPr>
            <w:tcW w:type="dxa" w:w="3360"/>
            <w:tcMar>
              <w:top w:w="80" w:type="dxa"/>
              <w:start w:w="90" w:type="dxa"/>
              <w:bottom w:w="80" w:type="dxa"/>
              <w:end w:w="90" w:type="dxa"/>
            </w:tcMar>
            <w:vAlign w:val="center"/>
          </w:tcPr>
          <w:p>
            <w:r>
              <w:t>8.21.0 (observed via Burp request)</w:t>
            </w:r>
          </w:p>
        </w:tc>
        <w:tc>
          <w:tcPr>
            <w:tcW w:type="dxa" w:w="3360"/>
            <w:tcMar>
              <w:top w:w="80" w:type="dxa"/>
              <w:start w:w="90" w:type="dxa"/>
              <w:bottom w:w="80" w:type="dxa"/>
              <w:end w:w="90" w:type="dxa"/>
            </w:tcMar>
            <w:vAlign w:val="center"/>
          </w:tcPr>
          <w:p>
            <w:r>
              <w:t>Manual HTTP/API requests</w:t>
            </w:r>
          </w:p>
        </w:tc>
      </w:tr>
      <w:tr>
        <w:tc>
          <w:tcPr>
            <w:tcW w:type="dxa" w:w="3360"/>
            <w:tcMar>
              <w:top w:w="80" w:type="dxa"/>
              <w:start w:w="90" w:type="dxa"/>
              <w:bottom w:w="80" w:type="dxa"/>
              <w:end w:w="90" w:type="dxa"/>
            </w:tcMar>
            <w:vAlign w:val="center"/>
          </w:tcPr>
          <w:p>
            <w:r>
              <w:t>Burp Suite Professional</w:t>
            </w:r>
          </w:p>
        </w:tc>
        <w:tc>
          <w:tcPr>
            <w:tcW w:type="dxa" w:w="3360"/>
            <w:tcMar>
              <w:top w:w="80" w:type="dxa"/>
              <w:start w:w="90" w:type="dxa"/>
              <w:bottom w:w="80" w:type="dxa"/>
              <w:end w:w="90" w:type="dxa"/>
            </w:tcMar>
            <w:vAlign w:val="center"/>
          </w:tcPr>
          <w:p>
            <w:r>
              <w:t>2026.3.3</w:t>
            </w:r>
          </w:p>
        </w:tc>
        <w:tc>
          <w:tcPr>
            <w:tcW w:type="dxa" w:w="3360"/>
            <w:tcMar>
              <w:top w:w="80" w:type="dxa"/>
              <w:start w:w="90" w:type="dxa"/>
              <w:bottom w:w="80" w:type="dxa"/>
              <w:end w:w="90" w:type="dxa"/>
            </w:tcMar>
            <w:vAlign w:val="center"/>
          </w:tcPr>
          <w:p>
            <w:r>
              <w:t>Proxy, Repeater, Crawl and Audit</w:t>
            </w:r>
          </w:p>
        </w:tc>
      </w:tr>
    </w:tbl>
    <w:p>
      <w:pPr>
        <w:pStyle w:val="Heading1"/>
      </w:pPr>
      <w:r>
        <w:t>5. Reconnaissance Results</w:t>
      </w:r>
    </w:p>
    <w:p>
      <w:r>
        <w:t>Nmap identified TCP/3000 as open on the loopback target. WhatWeb identified the application title as OWASP Juice Shop and confirmed a JavaScript-based web application. robots.txt exposed /ftp, which was subsequently validated as accessible.</w:t>
      </w:r>
    </w:p>
    <w:p>
      <w:pPr>
        <w:jc w:val="center"/>
      </w:pPr>
      <w:r>
        <w:drawing>
          <wp:inline xmlns:a="http://schemas.openxmlformats.org/drawingml/2006/main" xmlns:pic="http://schemas.openxmlformats.org/drawingml/2006/picture">
            <wp:extent cx="5806440" cy="3716122"/>
            <wp:docPr id="1" name="Picture 1"/>
            <wp:cNvGraphicFramePr>
              <a:graphicFrameLocks noChangeAspect="1"/>
            </wp:cNvGraphicFramePr>
            <a:graphic>
              <a:graphicData uri="http://schemas.openxmlformats.org/drawingml/2006/picture">
                <pic:pic>
                  <pic:nvPicPr>
                    <pic:cNvPr id="0" name="01_nmap.png"/>
                    <pic:cNvPicPr/>
                  </pic:nvPicPr>
                  <pic:blipFill>
                    <a:blip r:embed="rId11"/>
                    <a:stretch>
                      <a:fillRect/>
                    </a:stretch>
                  </pic:blipFill>
                  <pic:spPr>
                    <a:xfrm>
                      <a:off x="0" y="0"/>
                      <a:ext cx="5806440" cy="3716122"/>
                    </a:xfrm>
                    <a:prstGeom prst="rect"/>
                  </pic:spPr>
                </pic:pic>
              </a:graphicData>
            </a:graphic>
          </wp:inline>
        </w:drawing>
      </w:r>
    </w:p>
    <w:p>
      <w:pPr>
        <w:jc w:val="center"/>
      </w:pPr>
      <w:r>
        <w:rPr>
          <w:i/>
          <w:color w:val="5A626C"/>
          <w:sz w:val="17"/>
        </w:rPr>
        <w:t>Figure 1. Nmap service detection against 127.0.0.1:3000.</w:t>
      </w:r>
    </w:p>
    <w:p>
      <w:pPr>
        <w:jc w:val="center"/>
      </w:pPr>
      <w:r>
        <w:drawing>
          <wp:inline xmlns:a="http://schemas.openxmlformats.org/drawingml/2006/main" xmlns:pic="http://schemas.openxmlformats.org/drawingml/2006/picture">
            <wp:extent cx="5806440" cy="2069678"/>
            <wp:docPr id="2" name="Picture 2"/>
            <wp:cNvGraphicFramePr>
              <a:graphicFrameLocks noChangeAspect="1"/>
            </wp:cNvGraphicFramePr>
            <a:graphic>
              <a:graphicData uri="http://schemas.openxmlformats.org/drawingml/2006/picture">
                <pic:pic>
                  <pic:nvPicPr>
                    <pic:cNvPr id="0" name="02_ftp_listing.png"/>
                    <pic:cNvPicPr/>
                  </pic:nvPicPr>
                  <pic:blipFill>
                    <a:blip r:embed="rId12"/>
                    <a:stretch>
                      <a:fillRect/>
                    </a:stretch>
                  </pic:blipFill>
                  <pic:spPr>
                    <a:xfrm>
                      <a:off x="0" y="0"/>
                      <a:ext cx="5806440" cy="2069678"/>
                    </a:xfrm>
                    <a:prstGeom prst="rect"/>
                  </pic:spPr>
                </pic:pic>
              </a:graphicData>
            </a:graphic>
          </wp:inline>
        </w:drawing>
      </w:r>
    </w:p>
    <w:p>
      <w:pPr>
        <w:jc w:val="center"/>
      </w:pPr>
      <w:r>
        <w:rPr>
          <w:i/>
          <w:color w:val="5A626C"/>
          <w:sz w:val="17"/>
        </w:rPr>
        <w:t>Figure 2. Exposed /ftp directory listing returned by the Juice Shop application.</w:t>
      </w:r>
    </w:p>
    <w:p>
      <w:r>
        <w:br w:type="page"/>
      </w:r>
    </w:p>
    <w:p>
      <w:pPr>
        <w:pStyle w:val="Heading1"/>
      </w:pPr>
      <w:r>
        <w:t>6. Detailed Findings</w:t>
      </w:r>
    </w:p>
    <w:p>
      <w:pPr>
        <w:spacing w:before="160"/>
      </w:pPr>
      <w:r>
        <w:rPr>
          <w:b/>
          <w:color w:val="0B1F3A"/>
          <w:sz w:val="30"/>
        </w:rPr>
        <w:t>VULN-01 - SQL Injection / Authentication Bypass</w:t>
      </w:r>
    </w:p>
    <w:tbl>
      <w:tblPr>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20"/>
        <w:gridCol w:w="2520"/>
        <w:gridCol w:w="2520"/>
        <w:gridCol w:w="2520"/>
      </w:tblGrid>
      <w:tr>
        <w:tc>
          <w:tcPr>
            <w:tcW w:type="dxa" w:w="2520"/>
            <w:tcMar>
              <w:top w:w="80" w:type="dxa"/>
              <w:start w:w="90" w:type="dxa"/>
              <w:bottom w:w="80" w:type="dxa"/>
              <w:end w:w="90" w:type="dxa"/>
            </w:tcMar>
            <w:shd w:fill="FDECEC"/>
            <w:vAlign w:val="center"/>
          </w:tcPr>
          <w:p>
            <w:r>
              <w:rPr>
                <w:b/>
              </w:rPr>
              <w:t>Severity</w:t>
              <w:br/>
              <w:t>Critical</w:t>
            </w:r>
          </w:p>
        </w:tc>
        <w:tc>
          <w:tcPr>
            <w:tcW w:type="dxa" w:w="2520"/>
            <w:tcMar>
              <w:top w:w="80" w:type="dxa"/>
              <w:start w:w="90" w:type="dxa"/>
              <w:bottom w:w="80" w:type="dxa"/>
              <w:end w:w="90" w:type="dxa"/>
            </w:tcMar>
            <w:shd w:fill="F6F8FB"/>
            <w:vAlign w:val="center"/>
          </w:tcPr>
          <w:p>
            <w:r>
              <w:rPr>
                <w:b/>
              </w:rPr>
              <w:t>OWASP 2025</w:t>
              <w:br/>
              <w:t>A05 Injection; authentication impact under A07 Authentication Failures</w:t>
            </w:r>
          </w:p>
        </w:tc>
        <w:tc>
          <w:tcPr>
            <w:tcW w:type="dxa" w:w="2520"/>
            <w:tcMar>
              <w:top w:w="80" w:type="dxa"/>
              <w:start w:w="90" w:type="dxa"/>
              <w:bottom w:w="80" w:type="dxa"/>
              <w:end w:w="90" w:type="dxa"/>
            </w:tcMar>
            <w:shd w:fill="F6F8FB"/>
            <w:vAlign w:val="center"/>
          </w:tcPr>
          <w:p>
            <w:r>
              <w:rPr>
                <w:b/>
              </w:rPr>
              <w:t>Status</w:t>
              <w:br/>
              <w:t>Confirmed</w:t>
            </w:r>
          </w:p>
        </w:tc>
        <w:tc>
          <w:tcPr>
            <w:tcW w:type="dxa" w:w="2520"/>
            <w:tcMar>
              <w:top w:w="80" w:type="dxa"/>
              <w:start w:w="90" w:type="dxa"/>
              <w:bottom w:w="80" w:type="dxa"/>
              <w:end w:w="90" w:type="dxa"/>
            </w:tcMar>
            <w:shd w:fill="F6F8FB"/>
            <w:vAlign w:val="center"/>
          </w:tcPr>
          <w:p>
            <w:r>
              <w:rPr>
                <w:b/>
              </w:rPr>
              <w:t>Confidence</w:t>
              <w:br/>
              <w:t>High / Direct evidence</w:t>
            </w:r>
          </w:p>
        </w:tc>
      </w:tr>
    </w:tbl>
    <w:p>
      <w:r>
        <w:rPr>
          <w:b/>
        </w:rPr>
        <w:t xml:space="preserve">Affected endpoint: </w:t>
      </w:r>
      <w:r>
        <w:t>POST /rest/user/login</w:t>
      </w:r>
    </w:p>
    <w:p>
      <w:r>
        <w:rPr>
          <w:b/>
        </w:rPr>
        <w:t xml:space="preserve">Evidence: </w:t>
      </w:r>
      <w:r>
        <w:t>The crafted email value ' OR 1=1-- caused the login API to return HTTP 200 and an authentication token associated with the Juice Shop administrator account. The same payload was also entered through the application login page and successfully redirected into the authenticated application.</w:t>
      </w:r>
    </w:p>
    <w:p>
      <w:r>
        <w:rPr>
          <w:b/>
        </w:rPr>
        <w:t xml:space="preserve">Impact: </w:t>
      </w:r>
      <w:r>
        <w:t>An attacker who can reach the login endpoint may bypass authentication and obtain administrative access, potentially allowing access to privileged functionality and data.</w:t>
      </w:r>
    </w:p>
    <w:p>
      <w:r>
        <w:rPr>
          <w:b/>
        </w:rPr>
        <w:t xml:space="preserve">Root cause: </w:t>
      </w:r>
      <w:r>
        <w:t>The behavior is consistent with attacker-controlled input being incorporated into an authentication query without safe parameterization.</w:t>
      </w:r>
    </w:p>
    <w:p>
      <w:r>
        <w:rPr>
          <w:b/>
        </w:rPr>
        <w:t xml:space="preserve">Remediation: </w:t>
      </w:r>
      <w:r>
        <w:t>Use parameterized/prepared statements or ORM query APIs that keep data separate from SQL syntax. Remove string concatenation from authentication queries, add server-side validation, and add negative security tests for authentication inputs.</w:t>
      </w:r>
    </w:p>
    <w:p>
      <w:r>
        <w:rPr>
          <w:b/>
        </w:rPr>
        <w:t xml:space="preserve">Retest: </w:t>
      </w:r>
      <w:r>
        <w:t>Repeat the same payload after remediation and verify that authentication fails and no privileged token is issued.</w:t>
      </w:r>
    </w:p>
    <w:p>
      <w:pPr>
        <w:jc w:val="center"/>
      </w:pPr>
      <w:r>
        <w:drawing>
          <wp:inline xmlns:a="http://schemas.openxmlformats.org/drawingml/2006/main" xmlns:pic="http://schemas.openxmlformats.org/drawingml/2006/picture">
            <wp:extent cx="5806440" cy="1842864"/>
            <wp:docPr id="3" name="Picture 3"/>
            <wp:cNvGraphicFramePr>
              <a:graphicFrameLocks noChangeAspect="1"/>
            </wp:cNvGraphicFramePr>
            <a:graphic>
              <a:graphicData uri="http://schemas.openxmlformats.org/drawingml/2006/picture">
                <pic:pic>
                  <pic:nvPicPr>
                    <pic:cNvPr id="0" name="04_sqli_login_success.png"/>
                    <pic:cNvPicPr/>
                  </pic:nvPicPr>
                  <pic:blipFill>
                    <a:blip r:embed="rId13"/>
                    <a:stretch>
                      <a:fillRect/>
                    </a:stretch>
                  </pic:blipFill>
                  <pic:spPr>
                    <a:xfrm>
                      <a:off x="0" y="0"/>
                      <a:ext cx="5806440" cy="1842864"/>
                    </a:xfrm>
                    <a:prstGeom prst="rect"/>
                  </pic:spPr>
                </pic:pic>
              </a:graphicData>
            </a:graphic>
          </wp:inline>
        </w:drawing>
      </w:r>
    </w:p>
    <w:p>
      <w:pPr>
        <w:jc w:val="center"/>
      </w:pPr>
      <w:r>
        <w:rPr>
          <w:i/>
          <w:color w:val="5A626C"/>
          <w:sz w:val="17"/>
        </w:rPr>
        <w:t>Figure 3. Browser evidence showing successful authentication into the Juice Shop after the SQL injection test.</w:t>
      </w:r>
    </w:p>
    <w:p>
      <w:r>
        <w:br w:type="page"/>
      </w:r>
    </w:p>
    <w:p>
      <w:pPr>
        <w:spacing w:before="160"/>
      </w:pPr>
      <w:r>
        <w:rPr>
          <w:b/>
          <w:color w:val="0B1F3A"/>
          <w:sz w:val="30"/>
        </w:rPr>
        <w:t>VULN-02 - IDOR / Broken Object Level Authorization</w:t>
      </w:r>
    </w:p>
    <w:tbl>
      <w:tblPr>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20"/>
        <w:gridCol w:w="2520"/>
        <w:gridCol w:w="2520"/>
        <w:gridCol w:w="2520"/>
      </w:tblGrid>
      <w:tr>
        <w:tc>
          <w:tcPr>
            <w:tcW w:type="dxa" w:w="2520"/>
            <w:tcMar>
              <w:top w:w="80" w:type="dxa"/>
              <w:start w:w="90" w:type="dxa"/>
              <w:bottom w:w="80" w:type="dxa"/>
              <w:end w:w="90" w:type="dxa"/>
            </w:tcMar>
            <w:shd w:fill="FFF1E8"/>
            <w:vAlign w:val="center"/>
          </w:tcPr>
          <w:p>
            <w:r>
              <w:rPr>
                <w:b/>
              </w:rPr>
              <w:t>Severity</w:t>
              <w:br/>
              <w:t>High</w:t>
            </w:r>
          </w:p>
        </w:tc>
        <w:tc>
          <w:tcPr>
            <w:tcW w:type="dxa" w:w="2520"/>
            <w:tcMar>
              <w:top w:w="80" w:type="dxa"/>
              <w:start w:w="90" w:type="dxa"/>
              <w:bottom w:w="80" w:type="dxa"/>
              <w:end w:w="90" w:type="dxa"/>
            </w:tcMar>
            <w:shd w:fill="F6F8FB"/>
            <w:vAlign w:val="center"/>
          </w:tcPr>
          <w:p>
            <w:r>
              <w:rPr>
                <w:b/>
              </w:rPr>
              <w:t>OWASP 2025</w:t>
              <w:br/>
              <w:t>A01 Broken Access Control</w:t>
            </w:r>
          </w:p>
        </w:tc>
        <w:tc>
          <w:tcPr>
            <w:tcW w:type="dxa" w:w="2520"/>
            <w:tcMar>
              <w:top w:w="80" w:type="dxa"/>
              <w:start w:w="90" w:type="dxa"/>
              <w:bottom w:w="80" w:type="dxa"/>
              <w:end w:w="90" w:type="dxa"/>
            </w:tcMar>
            <w:shd w:fill="F6F8FB"/>
            <w:vAlign w:val="center"/>
          </w:tcPr>
          <w:p>
            <w:r>
              <w:rPr>
                <w:b/>
              </w:rPr>
              <w:t>Status</w:t>
              <w:br/>
              <w:t>Confirmed</w:t>
            </w:r>
          </w:p>
        </w:tc>
        <w:tc>
          <w:tcPr>
            <w:tcW w:type="dxa" w:w="2520"/>
            <w:tcMar>
              <w:top w:w="80" w:type="dxa"/>
              <w:start w:w="90" w:type="dxa"/>
              <w:bottom w:w="80" w:type="dxa"/>
              <w:end w:w="90" w:type="dxa"/>
            </w:tcMar>
            <w:shd w:fill="F6F8FB"/>
            <w:vAlign w:val="center"/>
          </w:tcPr>
          <w:p>
            <w:r>
              <w:rPr>
                <w:b/>
              </w:rPr>
              <w:t>Confidence</w:t>
              <w:br/>
              <w:t>High / Direct evidence</w:t>
            </w:r>
          </w:p>
        </w:tc>
      </w:tr>
    </w:tbl>
    <w:p>
      <w:r>
        <w:rPr>
          <w:b/>
        </w:rPr>
        <w:t xml:space="preserve">Affected endpoint: </w:t>
      </w:r>
      <w:r>
        <w:t>GET /api/Users/{id}</w:t>
      </w:r>
    </w:p>
    <w:p>
      <w:r>
        <w:rPr>
          <w:b/>
        </w:rPr>
        <w:t xml:space="preserve">Evidence: </w:t>
      </w:r>
      <w:r>
        <w:t>A dedicated synthetic customer account was created as user ID 25. Using the customer authentication token, GET /api/Users/1 returned the administrator record (id 1, admin@juice-sh.op, role admin). Only the object identifier changed between the customer self-access check and the unauthorized administrator-object request.</w:t>
      </w:r>
    </w:p>
    <w:p>
      <w:r>
        <w:rPr>
          <w:b/>
        </w:rPr>
        <w:t xml:space="preserve">Impact: </w:t>
      </w:r>
      <w:r>
        <w:t>A low-privileged authenticated user can read another user's object, including the administrator record. The same class of missing object-level authorization can expose broader user data if repeated across other endpoints.</w:t>
      </w:r>
    </w:p>
    <w:p>
      <w:r>
        <w:rPr>
          <w:b/>
        </w:rPr>
        <w:t xml:space="preserve">Root cause: </w:t>
      </w:r>
      <w:r>
        <w:t>The API authenticates the caller but does not sufficiently authorize access to the requested object identifier.</w:t>
      </w:r>
    </w:p>
    <w:p>
      <w:r>
        <w:rPr>
          <w:b/>
        </w:rPr>
        <w:t xml:space="preserve">Remediation: </w:t>
      </w:r>
      <w:r>
        <w:t>Perform server-side authorization checks for every object access. Verify that the authenticated principal is allowed to access the requested user/object. Do not rely on numeric IDs being secret or difficult to guess.</w:t>
      </w:r>
    </w:p>
    <w:p>
      <w:r>
        <w:rPr>
          <w:b/>
        </w:rPr>
        <w:t xml:space="preserve">Retest: </w:t>
      </w:r>
      <w:r>
        <w:t>Authenticate as a normal customer and request another user's object. The server should return HTTP 403 or an equivalent authorization failure without disclosing the object.</w:t>
      </w:r>
    </w:p>
    <w:p>
      <w:pPr>
        <w:jc w:val="center"/>
      </w:pPr>
      <w:r>
        <w:drawing>
          <wp:inline xmlns:a="http://schemas.openxmlformats.org/drawingml/2006/main" xmlns:pic="http://schemas.openxmlformats.org/drawingml/2006/picture">
            <wp:extent cx="5806440" cy="1757809"/>
            <wp:docPr id="4" name="Picture 4"/>
            <wp:cNvGraphicFramePr>
              <a:graphicFrameLocks noChangeAspect="1"/>
            </wp:cNvGraphicFramePr>
            <a:graphic>
              <a:graphicData uri="http://schemas.openxmlformats.org/drawingml/2006/picture">
                <pic:pic>
                  <pic:nvPicPr>
                    <pic:cNvPr id="0" name="07_idor.png"/>
                    <pic:cNvPicPr/>
                  </pic:nvPicPr>
                  <pic:blipFill>
                    <a:blip r:embed="rId14"/>
                    <a:stretch>
                      <a:fillRect/>
                    </a:stretch>
                  </pic:blipFill>
                  <pic:spPr>
                    <a:xfrm>
                      <a:off x="0" y="0"/>
                      <a:ext cx="5806440" cy="1757809"/>
                    </a:xfrm>
                    <a:prstGeom prst="rect"/>
                  </pic:spPr>
                </pic:pic>
              </a:graphicData>
            </a:graphic>
          </wp:inline>
        </w:drawing>
      </w:r>
    </w:p>
    <w:p>
      <w:pPr>
        <w:jc w:val="center"/>
      </w:pPr>
      <w:r>
        <w:rPr>
          <w:i/>
          <w:color w:val="5A626C"/>
          <w:sz w:val="17"/>
        </w:rPr>
        <w:t>Figure 4. Direct API evidence: customer token used to request administrator user object ID 1 and receive the admin record.</w:t>
      </w:r>
    </w:p>
    <w:p>
      <w:r>
        <w:br w:type="page"/>
      </w:r>
    </w:p>
    <w:p>
      <w:pPr>
        <w:spacing w:before="160"/>
      </w:pPr>
      <w:r>
        <w:rPr>
          <w:b/>
          <w:color w:val="0B1F3A"/>
          <w:sz w:val="30"/>
        </w:rPr>
        <w:t>VULN-03 - Client-side Cross-Site Scripting (XSS)</w:t>
      </w:r>
    </w:p>
    <w:tbl>
      <w:tblPr>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20"/>
        <w:gridCol w:w="2520"/>
        <w:gridCol w:w="2520"/>
        <w:gridCol w:w="2520"/>
      </w:tblGrid>
      <w:tr>
        <w:tc>
          <w:tcPr>
            <w:tcW w:type="dxa" w:w="2520"/>
            <w:tcMar>
              <w:top w:w="80" w:type="dxa"/>
              <w:start w:w="90" w:type="dxa"/>
              <w:bottom w:w="80" w:type="dxa"/>
              <w:end w:w="90" w:type="dxa"/>
            </w:tcMar>
            <w:shd w:fill="FFF8DD"/>
            <w:vAlign w:val="center"/>
          </w:tcPr>
          <w:p>
            <w:r>
              <w:rPr>
                <w:b/>
              </w:rPr>
              <w:t>Severity</w:t>
              <w:br/>
              <w:t>Medium</w:t>
            </w:r>
          </w:p>
        </w:tc>
        <w:tc>
          <w:tcPr>
            <w:tcW w:type="dxa" w:w="2520"/>
            <w:tcMar>
              <w:top w:w="80" w:type="dxa"/>
              <w:start w:w="90" w:type="dxa"/>
              <w:bottom w:w="80" w:type="dxa"/>
              <w:end w:w="90" w:type="dxa"/>
            </w:tcMar>
            <w:shd w:fill="F6F8FB"/>
            <w:vAlign w:val="center"/>
          </w:tcPr>
          <w:p>
            <w:r>
              <w:rPr>
                <w:b/>
              </w:rPr>
              <w:t>OWASP 2025</w:t>
              <w:br/>
              <w:t>A05 Injection</w:t>
            </w:r>
          </w:p>
        </w:tc>
        <w:tc>
          <w:tcPr>
            <w:tcW w:type="dxa" w:w="2520"/>
            <w:tcMar>
              <w:top w:w="80" w:type="dxa"/>
              <w:start w:w="90" w:type="dxa"/>
              <w:bottom w:w="80" w:type="dxa"/>
              <w:end w:w="90" w:type="dxa"/>
            </w:tcMar>
            <w:shd w:fill="F6F8FB"/>
            <w:vAlign w:val="center"/>
          </w:tcPr>
          <w:p>
            <w:r>
              <w:rPr>
                <w:b/>
              </w:rPr>
              <w:t>Status</w:t>
              <w:br/>
              <w:t>Confirmed</w:t>
            </w:r>
          </w:p>
        </w:tc>
        <w:tc>
          <w:tcPr>
            <w:tcW w:type="dxa" w:w="2520"/>
            <w:tcMar>
              <w:top w:w="80" w:type="dxa"/>
              <w:start w:w="90" w:type="dxa"/>
              <w:bottom w:w="80" w:type="dxa"/>
              <w:end w:w="90" w:type="dxa"/>
            </w:tcMar>
            <w:shd w:fill="F6F8FB"/>
            <w:vAlign w:val="center"/>
          </w:tcPr>
          <w:p>
            <w:r>
              <w:rPr>
                <w:b/>
              </w:rPr>
              <w:t>Confidence</w:t>
              <w:br/>
              <w:t>High / Direct evidence</w:t>
            </w:r>
          </w:p>
        </w:tc>
      </w:tr>
    </w:tbl>
    <w:p>
      <w:r>
        <w:rPr>
          <w:b/>
        </w:rPr>
        <w:t xml:space="preserve">Affected area: </w:t>
      </w:r>
      <w:r>
        <w:t>Search route: /#/search with attacker-controlled query string.</w:t>
      </w:r>
    </w:p>
    <w:p>
      <w:r>
        <w:rPr>
          <w:b/>
        </w:rPr>
        <w:t xml:space="preserve">Evidence: </w:t>
      </w:r>
      <w:r>
        <w:t>A crafted search URL caused the application browser to execute JavaScript and display an alert containing the text "xss". This is direct visual evidence of script execution in the client context.</w:t>
      </w:r>
    </w:p>
    <w:p>
      <w:r>
        <w:rPr>
          <w:b/>
        </w:rPr>
        <w:t xml:space="preserve">Impact: </w:t>
      </w:r>
      <w:r>
        <w:t>Depending on the application context, client-side script execution can alter page content, access browser-accessible application state, or perform actions on behalf of the victim.</w:t>
      </w:r>
    </w:p>
    <w:p>
      <w:r>
        <w:rPr>
          <w:b/>
        </w:rPr>
        <w:t xml:space="preserve">Root cause: </w:t>
      </w:r>
      <w:r>
        <w:t>User-controlled search input reaches a browser execution context without adequate context-aware encoding or safe DOM handling.</w:t>
      </w:r>
    </w:p>
    <w:p>
      <w:r>
        <w:rPr>
          <w:b/>
        </w:rPr>
        <w:t xml:space="preserve">Remediation: </w:t>
      </w:r>
      <w:r>
        <w:t>Use framework-safe templating, context-aware output encoding, avoid unsafe DOM sinks, sanitize HTML only where HTML is required, and deploy a restrictive Content Security Policy as defense in depth.</w:t>
      </w:r>
    </w:p>
    <w:p>
      <w:r>
        <w:rPr>
          <w:b/>
        </w:rPr>
        <w:t xml:space="preserve">Retest: </w:t>
      </w:r>
      <w:r>
        <w:t>Repeat the same search with the test payload and verify that it is rendered as data and no JavaScript executes.</w:t>
      </w:r>
    </w:p>
    <w:p>
      <w:pPr>
        <w:jc w:val="center"/>
      </w:pPr>
      <w:r>
        <w:drawing>
          <wp:inline xmlns:a="http://schemas.openxmlformats.org/drawingml/2006/main" xmlns:pic="http://schemas.openxmlformats.org/drawingml/2006/picture">
            <wp:extent cx="5806440" cy="2154734"/>
            <wp:docPr id="5" name="Picture 5"/>
            <wp:cNvGraphicFramePr>
              <a:graphicFrameLocks noChangeAspect="1"/>
            </wp:cNvGraphicFramePr>
            <a:graphic>
              <a:graphicData uri="http://schemas.openxmlformats.org/drawingml/2006/picture">
                <pic:pic>
                  <pic:nvPicPr>
                    <pic:cNvPr id="0" name="05_xss_alert.png"/>
                    <pic:cNvPicPr/>
                  </pic:nvPicPr>
                  <pic:blipFill>
                    <a:blip r:embed="rId15"/>
                    <a:stretch>
                      <a:fillRect/>
                    </a:stretch>
                  </pic:blipFill>
                  <pic:spPr>
                    <a:xfrm>
                      <a:off x="0" y="0"/>
                      <a:ext cx="5806440" cy="2154734"/>
                    </a:xfrm>
                    <a:prstGeom prst="rect"/>
                  </pic:spPr>
                </pic:pic>
              </a:graphicData>
            </a:graphic>
          </wp:inline>
        </w:drawing>
      </w:r>
    </w:p>
    <w:p>
      <w:pPr>
        <w:jc w:val="center"/>
      </w:pPr>
      <w:r>
        <w:rPr>
          <w:i/>
          <w:color w:val="5A626C"/>
          <w:sz w:val="17"/>
        </w:rPr>
        <w:t>Figure 5. Browser evidence of JavaScript execution from the crafted search URL.</w:t>
      </w:r>
    </w:p>
    <w:p>
      <w:pPr>
        <w:spacing w:before="160"/>
      </w:pPr>
      <w:r>
        <w:rPr>
          <w:b/>
          <w:color w:val="0B1F3A"/>
          <w:sz w:val="30"/>
        </w:rPr>
        <w:t>VULN-04 - Sensitive File Exposure via /ftp</w:t>
      </w:r>
    </w:p>
    <w:tbl>
      <w:tblPr>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20"/>
        <w:gridCol w:w="2520"/>
        <w:gridCol w:w="2520"/>
        <w:gridCol w:w="2520"/>
      </w:tblGrid>
      <w:tr>
        <w:tc>
          <w:tcPr>
            <w:tcW w:type="dxa" w:w="2520"/>
            <w:tcMar>
              <w:top w:w="80" w:type="dxa"/>
              <w:start w:w="90" w:type="dxa"/>
              <w:bottom w:w="80" w:type="dxa"/>
              <w:end w:w="90" w:type="dxa"/>
            </w:tcMar>
            <w:shd w:fill="FFF8DD"/>
            <w:vAlign w:val="center"/>
          </w:tcPr>
          <w:p>
            <w:r>
              <w:rPr>
                <w:b/>
              </w:rPr>
              <w:t>Severity</w:t>
              <w:br/>
              <w:t>Medium</w:t>
            </w:r>
          </w:p>
        </w:tc>
        <w:tc>
          <w:tcPr>
            <w:tcW w:type="dxa" w:w="2520"/>
            <w:tcMar>
              <w:top w:w="80" w:type="dxa"/>
              <w:start w:w="90" w:type="dxa"/>
              <w:bottom w:w="80" w:type="dxa"/>
              <w:end w:w="90" w:type="dxa"/>
            </w:tcMar>
            <w:shd w:fill="F6F8FB"/>
            <w:vAlign w:val="center"/>
          </w:tcPr>
          <w:p>
            <w:r>
              <w:rPr>
                <w:b/>
              </w:rPr>
              <w:t>OWASP 2025</w:t>
              <w:br/>
              <w:t>A01 Broken Access Control</w:t>
            </w:r>
          </w:p>
        </w:tc>
        <w:tc>
          <w:tcPr>
            <w:tcW w:type="dxa" w:w="2520"/>
            <w:tcMar>
              <w:top w:w="80" w:type="dxa"/>
              <w:start w:w="90" w:type="dxa"/>
              <w:bottom w:w="80" w:type="dxa"/>
              <w:end w:w="90" w:type="dxa"/>
            </w:tcMar>
            <w:shd w:fill="F6F8FB"/>
            <w:vAlign w:val="center"/>
          </w:tcPr>
          <w:p>
            <w:r>
              <w:rPr>
                <w:b/>
              </w:rPr>
              <w:t>Status</w:t>
              <w:br/>
              <w:t>Confirmed</w:t>
            </w:r>
          </w:p>
        </w:tc>
        <w:tc>
          <w:tcPr>
            <w:tcW w:type="dxa" w:w="2520"/>
            <w:tcMar>
              <w:top w:w="80" w:type="dxa"/>
              <w:start w:w="90" w:type="dxa"/>
              <w:bottom w:w="80" w:type="dxa"/>
              <w:end w:w="90" w:type="dxa"/>
            </w:tcMar>
            <w:shd w:fill="F6F8FB"/>
            <w:vAlign w:val="center"/>
          </w:tcPr>
          <w:p>
            <w:r>
              <w:rPr>
                <w:b/>
              </w:rPr>
              <w:t>Confidence</w:t>
              <w:br/>
              <w:t>High / Direct evidence</w:t>
            </w:r>
          </w:p>
        </w:tc>
      </w:tr>
    </w:tbl>
    <w:p>
      <w:r>
        <w:rPr>
          <w:b/>
        </w:rPr>
        <w:t xml:space="preserve">Affected path: </w:t>
      </w:r>
      <w:r>
        <w:t>/ftp/</w:t>
      </w:r>
    </w:p>
    <w:p>
      <w:r>
        <w:rPr>
          <w:b/>
        </w:rPr>
        <w:t xml:space="preserve">Evidence: </w:t>
      </w:r>
      <w:r>
        <w:t>robots.txt exposed /ftp. Direct requests to /ftp returned a directory listing including acquisitions.md, legal.md, and other internal-looking files. acquisitions.md and legal.md were retrieved successfully.</w:t>
      </w:r>
    </w:p>
    <w:p>
      <w:r>
        <w:rPr>
          <w:b/>
        </w:rPr>
        <w:t xml:space="preserve">Impact: </w:t>
      </w:r>
      <w:r>
        <w:t>Web-accessible internal documents may disclose confidential or operational information and assist further attacks.</w:t>
      </w:r>
    </w:p>
    <w:p>
      <w:r>
        <w:rPr>
          <w:b/>
        </w:rPr>
        <w:t xml:space="preserve">Root cause: </w:t>
      </w:r>
      <w:r>
        <w:t>Sensitive documents are stored beneath a web-accessible path without sufficient access restrictions.</w:t>
      </w:r>
    </w:p>
    <w:p>
      <w:r>
        <w:rPr>
          <w:b/>
        </w:rPr>
        <w:t xml:space="preserve">Remediation: </w:t>
      </w:r>
      <w:r>
        <w:t>Move sensitive documents outside web roots, disable directory listing, enforce authorization before serving files, and deny direct access to internal storage locations.</w:t>
      </w:r>
    </w:p>
    <w:p>
      <w:pPr>
        <w:spacing w:before="160"/>
      </w:pPr>
      <w:r>
        <w:rPr>
          <w:b/>
          <w:color w:val="0B1F3A"/>
          <w:sz w:val="30"/>
        </w:rPr>
        <w:t>VULN-05 - Verbose Error / Stack Trace Disclosure</w:t>
      </w:r>
    </w:p>
    <w:tbl>
      <w:tblPr>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20"/>
        <w:gridCol w:w="2520"/>
        <w:gridCol w:w="2520"/>
        <w:gridCol w:w="2520"/>
      </w:tblGrid>
      <w:tr>
        <w:tc>
          <w:tcPr>
            <w:tcW w:type="dxa" w:w="2520"/>
            <w:tcMar>
              <w:top w:w="80" w:type="dxa"/>
              <w:start w:w="90" w:type="dxa"/>
              <w:bottom w:w="80" w:type="dxa"/>
              <w:end w:w="90" w:type="dxa"/>
            </w:tcMar>
            <w:shd w:fill="FFF8DD"/>
            <w:vAlign w:val="center"/>
          </w:tcPr>
          <w:p>
            <w:r>
              <w:rPr>
                <w:b/>
              </w:rPr>
              <w:t>Severity</w:t>
              <w:br/>
              <w:t>Low-Medium</w:t>
            </w:r>
          </w:p>
        </w:tc>
        <w:tc>
          <w:tcPr>
            <w:tcW w:type="dxa" w:w="2520"/>
            <w:tcMar>
              <w:top w:w="80" w:type="dxa"/>
              <w:start w:w="90" w:type="dxa"/>
              <w:bottom w:w="80" w:type="dxa"/>
              <w:end w:w="90" w:type="dxa"/>
            </w:tcMar>
            <w:shd w:fill="F6F8FB"/>
            <w:vAlign w:val="center"/>
          </w:tcPr>
          <w:p>
            <w:r>
              <w:rPr>
                <w:b/>
              </w:rPr>
              <w:t>OWASP 2025</w:t>
              <w:br/>
              <w:t>A10 Mishandling of Exceptional Conditions</w:t>
            </w:r>
          </w:p>
        </w:tc>
        <w:tc>
          <w:tcPr>
            <w:tcW w:type="dxa" w:w="2520"/>
            <w:tcMar>
              <w:top w:w="80" w:type="dxa"/>
              <w:start w:w="90" w:type="dxa"/>
              <w:bottom w:w="80" w:type="dxa"/>
              <w:end w:w="90" w:type="dxa"/>
            </w:tcMar>
            <w:shd w:fill="F6F8FB"/>
            <w:vAlign w:val="center"/>
          </w:tcPr>
          <w:p>
            <w:r>
              <w:rPr>
                <w:b/>
              </w:rPr>
              <w:t>Status</w:t>
              <w:br/>
              <w:t>Confirmed</w:t>
            </w:r>
          </w:p>
        </w:tc>
        <w:tc>
          <w:tcPr>
            <w:tcW w:type="dxa" w:w="2520"/>
            <w:tcMar>
              <w:top w:w="80" w:type="dxa"/>
              <w:start w:w="90" w:type="dxa"/>
              <w:bottom w:w="80" w:type="dxa"/>
              <w:end w:w="90" w:type="dxa"/>
            </w:tcMar>
            <w:shd w:fill="F6F8FB"/>
            <w:vAlign w:val="center"/>
          </w:tcPr>
          <w:p>
            <w:r>
              <w:rPr>
                <w:b/>
              </w:rPr>
              <w:t>Confidence</w:t>
              <w:br/>
              <w:t>High / Direct evidence</w:t>
            </w:r>
          </w:p>
        </w:tc>
      </w:tr>
    </w:tbl>
    <w:p>
      <w:r>
        <w:rPr>
          <w:b/>
        </w:rPr>
        <w:t xml:space="preserve">Affected behavior: </w:t>
      </w:r>
      <w:r>
        <w:t>Invalid requests to the file endpoint returned detailed Express/Node.js error information.</w:t>
      </w:r>
    </w:p>
    <w:p>
      <w:r>
        <w:rPr>
          <w:b/>
        </w:rPr>
        <w:t xml:space="preserve">Evidence: </w:t>
      </w:r>
      <w:r>
        <w:t>The response exposed framework/version information and internal paths such as /juice-shop/node_modules/express/... in the HTML error page.</w:t>
      </w:r>
    </w:p>
    <w:p>
      <w:r>
        <w:rPr>
          <w:b/>
        </w:rPr>
        <w:t xml:space="preserve">Impact: </w:t>
      </w:r>
      <w:r>
        <w:t>Detailed implementation information can help attackers fingerprint the application and identify useful routes, libraries, and error paths.</w:t>
      </w:r>
    </w:p>
    <w:p>
      <w:r>
        <w:rPr>
          <w:b/>
        </w:rPr>
        <w:t xml:space="preserve">Root cause: </w:t>
      </w:r>
      <w:r>
        <w:t>Production-style error handling is exposing diagnostic details to clients instead of returning a generic error response.</w:t>
      </w:r>
    </w:p>
    <w:p>
      <w:r>
        <w:rPr>
          <w:b/>
        </w:rPr>
        <w:t xml:space="preserve">Remediation: </w:t>
      </w:r>
      <w:r>
        <w:t>Return generic client-facing errors, keep stack traces in server-side logs, disable debug output in production, and centralize exception handling.</w:t>
      </w:r>
    </w:p>
    <w:p>
      <w:pPr>
        <w:jc w:val="center"/>
      </w:pPr>
      <w:r>
        <w:drawing>
          <wp:inline xmlns:a="http://schemas.openxmlformats.org/drawingml/2006/main" xmlns:pic="http://schemas.openxmlformats.org/drawingml/2006/picture">
            <wp:extent cx="5806440" cy="1503377"/>
            <wp:docPr id="6" name="Picture 6"/>
            <wp:cNvGraphicFramePr>
              <a:graphicFrameLocks noChangeAspect="1"/>
            </wp:cNvGraphicFramePr>
            <a:graphic>
              <a:graphicData uri="http://schemas.openxmlformats.org/drawingml/2006/picture">
                <pic:pic>
                  <pic:nvPicPr>
                    <pic:cNvPr id="0" name="03_stacktrace.png"/>
                    <pic:cNvPicPr/>
                  </pic:nvPicPr>
                  <pic:blipFill>
                    <a:blip r:embed="rId16"/>
                    <a:stretch>
                      <a:fillRect/>
                    </a:stretch>
                  </pic:blipFill>
                  <pic:spPr>
                    <a:xfrm>
                      <a:off x="0" y="0"/>
                      <a:ext cx="5806440" cy="1503377"/>
                    </a:xfrm>
                    <a:prstGeom prst="rect"/>
                  </pic:spPr>
                </pic:pic>
              </a:graphicData>
            </a:graphic>
          </wp:inline>
        </w:drawing>
      </w:r>
    </w:p>
    <w:p>
      <w:pPr>
        <w:jc w:val="center"/>
      </w:pPr>
      <w:r>
        <w:rPr>
          <w:i/>
          <w:color w:val="5A626C"/>
          <w:sz w:val="17"/>
        </w:rPr>
        <w:t>Figure 6. Error response exposing Express/Node.js stack information.</w:t>
      </w:r>
    </w:p>
    <w:p>
      <w:r>
        <w:br w:type="page"/>
      </w:r>
    </w:p>
    <w:p>
      <w:pPr>
        <w:spacing w:before="160"/>
      </w:pPr>
      <w:r>
        <w:rPr>
          <w:b/>
          <w:color w:val="0B1F3A"/>
          <w:sz w:val="30"/>
        </w:rPr>
        <w:t>VULN-06 - Permissive CORS / Arbitrary Origin Trusted</w:t>
      </w:r>
    </w:p>
    <w:tbl>
      <w:tblPr>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20"/>
        <w:gridCol w:w="2520"/>
        <w:gridCol w:w="2520"/>
        <w:gridCol w:w="2520"/>
      </w:tblGrid>
      <w:tr>
        <w:tc>
          <w:tcPr>
            <w:tcW w:type="dxa" w:w="2520"/>
            <w:tcMar>
              <w:top w:w="80" w:type="dxa"/>
              <w:start w:w="90" w:type="dxa"/>
              <w:bottom w:w="80" w:type="dxa"/>
              <w:end w:w="90" w:type="dxa"/>
            </w:tcMar>
            <w:shd w:fill="FFF8DD"/>
            <w:vAlign w:val="center"/>
          </w:tcPr>
          <w:p>
            <w:r>
              <w:rPr>
                <w:b/>
              </w:rPr>
              <w:t>Severity</w:t>
              <w:br/>
              <w:t>Low-Medium</w:t>
            </w:r>
          </w:p>
        </w:tc>
        <w:tc>
          <w:tcPr>
            <w:tcW w:type="dxa" w:w="2520"/>
            <w:tcMar>
              <w:top w:w="80" w:type="dxa"/>
              <w:start w:w="90" w:type="dxa"/>
              <w:bottom w:w="80" w:type="dxa"/>
              <w:end w:w="90" w:type="dxa"/>
            </w:tcMar>
            <w:shd w:fill="F6F8FB"/>
            <w:vAlign w:val="center"/>
          </w:tcPr>
          <w:p>
            <w:r>
              <w:rPr>
                <w:b/>
              </w:rPr>
              <w:t>OWASP 2025</w:t>
              <w:br/>
              <w:t>A02 Security Misconfiguration</w:t>
            </w:r>
          </w:p>
        </w:tc>
        <w:tc>
          <w:tcPr>
            <w:tcW w:type="dxa" w:w="2520"/>
            <w:tcMar>
              <w:top w:w="80" w:type="dxa"/>
              <w:start w:w="90" w:type="dxa"/>
              <w:bottom w:w="80" w:type="dxa"/>
              <w:end w:w="90" w:type="dxa"/>
            </w:tcMar>
            <w:shd w:fill="F6F8FB"/>
            <w:vAlign w:val="center"/>
          </w:tcPr>
          <w:p>
            <w:r>
              <w:rPr>
                <w:b/>
              </w:rPr>
              <w:t>Status</w:t>
              <w:br/>
              <w:t>Confirmed</w:t>
            </w:r>
          </w:p>
        </w:tc>
        <w:tc>
          <w:tcPr>
            <w:tcW w:type="dxa" w:w="2520"/>
            <w:tcMar>
              <w:top w:w="80" w:type="dxa"/>
              <w:start w:w="90" w:type="dxa"/>
              <w:bottom w:w="80" w:type="dxa"/>
              <w:end w:w="90" w:type="dxa"/>
            </w:tcMar>
            <w:shd w:fill="F6F8FB"/>
            <w:vAlign w:val="center"/>
          </w:tcPr>
          <w:p>
            <w:r>
              <w:rPr>
                <w:b/>
              </w:rPr>
              <w:t>Confidence</w:t>
              <w:br/>
              <w:t>High / Direct evidence</w:t>
            </w:r>
          </w:p>
        </w:tc>
      </w:tr>
    </w:tbl>
    <w:p>
      <w:r>
        <w:rPr>
          <w:b/>
        </w:rPr>
        <w:t xml:space="preserve">Affected behavior: </w:t>
      </w:r>
      <w:r>
        <w:t>Burp identified "Cross-origin resource sharing: arbitrary origin trusted" across multiple Juice Shop resources.</w:t>
      </w:r>
    </w:p>
    <w:p>
      <w:r>
        <w:rPr>
          <w:b/>
        </w:rPr>
        <w:t xml:space="preserve">Evidence: </w:t>
      </w:r>
      <w:r>
        <w:t>The scoped Burp Crawl and Audit reported the issue with certain confidence on the local Juice Shop host. The issue appears on resources including /main.js, /scripts.js, /styles.css, /ftp/*, and /robots.txt.</w:t>
      </w:r>
    </w:p>
    <w:p>
      <w:r>
        <w:rPr>
          <w:b/>
        </w:rPr>
        <w:t xml:space="preserve">Impact: </w:t>
      </w:r>
      <w:r>
        <w:t>Permissive origin trust can expand the set of origins that can interact with application resources cross-origin. The impact depends on what sensitive resources are accessible with browser credentials.</w:t>
      </w:r>
    </w:p>
    <w:p>
      <w:r>
        <w:rPr>
          <w:b/>
        </w:rPr>
        <w:t xml:space="preserve">Root cause: </w:t>
      </w:r>
      <w:r>
        <w:t>CORS policy is broader than required for a secure deployment.</w:t>
      </w:r>
    </w:p>
    <w:p>
      <w:r>
        <w:rPr>
          <w:b/>
        </w:rPr>
        <w:t xml:space="preserve">Remediation: </w:t>
      </w:r>
      <w:r>
        <w:t>Use an explicit allowlist of trusted origins, avoid wildcard origins where credentials or sensitive data are involved, and restrict methods and headers to what the application requires.</w:t>
      </w:r>
    </w:p>
    <w:p>
      <w:r>
        <w:rPr>
          <w:b/>
        </w:rPr>
        <w:t xml:space="preserve">Retest: </w:t>
      </w:r>
      <w:r>
        <w:t>Send requests with an untrusted Origin header and verify that the server does not grant cross-origin access to protected resources.</w:t>
      </w:r>
    </w:p>
    <w:p>
      <w:pPr>
        <w:jc w:val="center"/>
      </w:pPr>
      <w:r>
        <w:drawing>
          <wp:inline xmlns:a="http://schemas.openxmlformats.org/drawingml/2006/main" xmlns:pic="http://schemas.openxmlformats.org/drawingml/2006/picture">
            <wp:extent cx="5806440" cy="3420879"/>
            <wp:docPr id="7" name="Picture 7"/>
            <wp:cNvGraphicFramePr>
              <a:graphicFrameLocks noChangeAspect="1"/>
            </wp:cNvGraphicFramePr>
            <a:graphic>
              <a:graphicData uri="http://schemas.openxmlformats.org/drawingml/2006/picture">
                <pic:pic>
                  <pic:nvPicPr>
                    <pic:cNvPr id="0" name="06_burp_findings.png"/>
                    <pic:cNvPicPr/>
                  </pic:nvPicPr>
                  <pic:blipFill>
                    <a:blip r:embed="rId17"/>
                    <a:stretch>
                      <a:fillRect/>
                    </a:stretch>
                  </pic:blipFill>
                  <pic:spPr>
                    <a:xfrm>
                      <a:off x="0" y="0"/>
                      <a:ext cx="5806440" cy="3420879"/>
                    </a:xfrm>
                    <a:prstGeom prst="rect"/>
                  </pic:spPr>
                </pic:pic>
              </a:graphicData>
            </a:graphic>
          </wp:inline>
        </w:drawing>
      </w:r>
    </w:p>
    <w:p>
      <w:pPr>
        <w:jc w:val="center"/>
      </w:pPr>
      <w:r>
        <w:rPr>
          <w:i/>
          <w:color w:val="5A626C"/>
          <w:sz w:val="17"/>
        </w:rPr>
        <w:t>Figure 7. Burp Suite scoped scan results showing CORS-related findings and exposed /ftp resources.</w:t>
      </w:r>
    </w:p>
    <w:p>
      <w:r>
        <w:br w:type="page"/>
      </w:r>
    </w:p>
    <w:p>
      <w:pPr>
        <w:pStyle w:val="Heading1"/>
      </w:pPr>
      <w:r>
        <w:t>7. Risk Summary and Remediation Priorities</w:t>
      </w:r>
    </w:p>
    <w:p>
      <w:r>
        <w:t>The table below is the reporting priority used for this lab. It reflects demonstrated exploitability and impact, not a formal CVSS calculation.</w:t>
      </w:r>
    </w:p>
    <w:tbl>
      <w:tblPr>
        <w:tblW w:type="auto" w:w="0"/>
        <w:jc w:val="center"/>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20"/>
        <w:gridCol w:w="2520"/>
        <w:gridCol w:w="2520"/>
        <w:gridCol w:w="2520"/>
      </w:tblGrid>
      <w:tr>
        <w:tc>
          <w:tcPr>
            <w:tcW w:type="dxa" w:w="2520"/>
            <w:shd w:fill="0B1F3A"/>
            <w:vAlign w:val="center"/>
          </w:tcPr>
          <w:p>
            <w:r>
              <w:rPr>
                <w:b/>
                <w:color w:val="FFFFFF"/>
              </w:rPr>
              <w:t>Priority</w:t>
            </w:r>
          </w:p>
        </w:tc>
        <w:tc>
          <w:tcPr>
            <w:tcW w:type="dxa" w:w="2520"/>
            <w:shd w:fill="0B1F3A"/>
            <w:vAlign w:val="center"/>
          </w:tcPr>
          <w:p>
            <w:r>
              <w:rPr>
                <w:b/>
                <w:color w:val="FFFFFF"/>
              </w:rPr>
              <w:t>Finding</w:t>
            </w:r>
          </w:p>
        </w:tc>
        <w:tc>
          <w:tcPr>
            <w:tcW w:type="dxa" w:w="2520"/>
            <w:shd w:fill="0B1F3A"/>
            <w:vAlign w:val="center"/>
          </w:tcPr>
          <w:p>
            <w:r>
              <w:rPr>
                <w:b/>
                <w:color w:val="FFFFFF"/>
              </w:rPr>
              <w:t>Primary impact</w:t>
            </w:r>
          </w:p>
        </w:tc>
        <w:tc>
          <w:tcPr>
            <w:tcW w:type="dxa" w:w="2520"/>
            <w:shd w:fill="0B1F3A"/>
            <w:vAlign w:val="center"/>
          </w:tcPr>
          <w:p>
            <w:r>
              <w:rPr>
                <w:b/>
                <w:color w:val="FFFFFF"/>
              </w:rPr>
              <w:t>Recommended action</w:t>
            </w:r>
          </w:p>
        </w:tc>
      </w:tr>
      <w:tr>
        <w:tc>
          <w:tcPr>
            <w:tcW w:type="dxa" w:w="2520"/>
            <w:tcMar>
              <w:top w:w="80" w:type="dxa"/>
              <w:start w:w="90" w:type="dxa"/>
              <w:bottom w:w="80" w:type="dxa"/>
              <w:end w:w="90" w:type="dxa"/>
            </w:tcMar>
            <w:vAlign w:val="center"/>
          </w:tcPr>
          <w:p>
            <w:r>
              <w:t>P1</w:t>
            </w:r>
          </w:p>
        </w:tc>
        <w:tc>
          <w:tcPr>
            <w:tcW w:type="dxa" w:w="2520"/>
            <w:tcMar>
              <w:top w:w="80" w:type="dxa"/>
              <w:start w:w="90" w:type="dxa"/>
              <w:bottom w:w="80" w:type="dxa"/>
              <w:end w:w="90" w:type="dxa"/>
            </w:tcMar>
            <w:vAlign w:val="center"/>
          </w:tcPr>
          <w:p>
            <w:r>
              <w:t>VULN-01 - SQLi/Auth Bypass</w:t>
            </w:r>
          </w:p>
        </w:tc>
        <w:tc>
          <w:tcPr>
            <w:tcW w:type="dxa" w:w="2520"/>
            <w:tcMar>
              <w:top w:w="80" w:type="dxa"/>
              <w:start w:w="90" w:type="dxa"/>
              <w:bottom w:w="80" w:type="dxa"/>
              <w:end w:w="90" w:type="dxa"/>
            </w:tcMar>
            <w:vAlign w:val="center"/>
          </w:tcPr>
          <w:p>
            <w:r>
              <w:t>Administrative authentication bypass</w:t>
            </w:r>
          </w:p>
        </w:tc>
        <w:tc>
          <w:tcPr>
            <w:tcW w:type="dxa" w:w="2520"/>
            <w:tcMar>
              <w:top w:w="80" w:type="dxa"/>
              <w:start w:w="90" w:type="dxa"/>
              <w:bottom w:w="80" w:type="dxa"/>
              <w:end w:w="90" w:type="dxa"/>
            </w:tcMar>
            <w:vAlign w:val="center"/>
          </w:tcPr>
          <w:p>
            <w:r>
              <w:t>Parameterize SQL; remove injectable query construction; add auth security tests.</w:t>
            </w:r>
          </w:p>
        </w:tc>
      </w:tr>
      <w:tr>
        <w:tc>
          <w:tcPr>
            <w:tcW w:type="dxa" w:w="2520"/>
            <w:tcMar>
              <w:top w:w="80" w:type="dxa"/>
              <w:start w:w="90" w:type="dxa"/>
              <w:bottom w:w="80" w:type="dxa"/>
              <w:end w:w="90" w:type="dxa"/>
            </w:tcMar>
            <w:vAlign w:val="center"/>
          </w:tcPr>
          <w:p>
            <w:r>
              <w:t>P1</w:t>
            </w:r>
          </w:p>
        </w:tc>
        <w:tc>
          <w:tcPr>
            <w:tcW w:type="dxa" w:w="2520"/>
            <w:tcMar>
              <w:top w:w="80" w:type="dxa"/>
              <w:start w:w="90" w:type="dxa"/>
              <w:bottom w:w="80" w:type="dxa"/>
              <w:end w:w="90" w:type="dxa"/>
            </w:tcMar>
            <w:vAlign w:val="center"/>
          </w:tcPr>
          <w:p>
            <w:r>
              <w:t>VULN-02 - IDOR/BOLA</w:t>
            </w:r>
          </w:p>
        </w:tc>
        <w:tc>
          <w:tcPr>
            <w:tcW w:type="dxa" w:w="2520"/>
            <w:tcMar>
              <w:top w:w="80" w:type="dxa"/>
              <w:start w:w="90" w:type="dxa"/>
              <w:bottom w:w="80" w:type="dxa"/>
              <w:end w:w="90" w:type="dxa"/>
            </w:tcMar>
            <w:vAlign w:val="center"/>
          </w:tcPr>
          <w:p>
            <w:r>
              <w:t>Cross-user data access</w:t>
            </w:r>
          </w:p>
        </w:tc>
        <w:tc>
          <w:tcPr>
            <w:tcW w:type="dxa" w:w="2520"/>
            <w:tcMar>
              <w:top w:w="80" w:type="dxa"/>
              <w:start w:w="90" w:type="dxa"/>
              <w:bottom w:w="80" w:type="dxa"/>
              <w:end w:w="90" w:type="dxa"/>
            </w:tcMar>
            <w:vAlign w:val="center"/>
          </w:tcPr>
          <w:p>
            <w:r>
              <w:t>Enforce per-object authorization on every API read/write.</w:t>
            </w:r>
          </w:p>
        </w:tc>
      </w:tr>
      <w:tr>
        <w:tc>
          <w:tcPr>
            <w:tcW w:type="dxa" w:w="2520"/>
            <w:tcMar>
              <w:top w:w="80" w:type="dxa"/>
              <w:start w:w="90" w:type="dxa"/>
              <w:bottom w:w="80" w:type="dxa"/>
              <w:end w:w="90" w:type="dxa"/>
            </w:tcMar>
            <w:vAlign w:val="center"/>
          </w:tcPr>
          <w:p>
            <w:r>
              <w:t>P2</w:t>
            </w:r>
          </w:p>
        </w:tc>
        <w:tc>
          <w:tcPr>
            <w:tcW w:type="dxa" w:w="2520"/>
            <w:tcMar>
              <w:top w:w="80" w:type="dxa"/>
              <w:start w:w="90" w:type="dxa"/>
              <w:bottom w:w="80" w:type="dxa"/>
              <w:end w:w="90" w:type="dxa"/>
            </w:tcMar>
            <w:vAlign w:val="center"/>
          </w:tcPr>
          <w:p>
            <w:r>
              <w:t>VULN-03 - XSS</w:t>
            </w:r>
          </w:p>
        </w:tc>
        <w:tc>
          <w:tcPr>
            <w:tcW w:type="dxa" w:w="2520"/>
            <w:tcMar>
              <w:top w:w="80" w:type="dxa"/>
              <w:start w:w="90" w:type="dxa"/>
              <w:bottom w:w="80" w:type="dxa"/>
              <w:end w:w="90" w:type="dxa"/>
            </w:tcMar>
            <w:vAlign w:val="center"/>
          </w:tcPr>
          <w:p>
            <w:r>
              <w:t>Browser-side script execution</w:t>
            </w:r>
          </w:p>
        </w:tc>
        <w:tc>
          <w:tcPr>
            <w:tcW w:type="dxa" w:w="2520"/>
            <w:tcMar>
              <w:top w:w="80" w:type="dxa"/>
              <w:start w:w="90" w:type="dxa"/>
              <w:bottom w:w="80" w:type="dxa"/>
              <w:end w:w="90" w:type="dxa"/>
            </w:tcMar>
            <w:vAlign w:val="center"/>
          </w:tcPr>
          <w:p>
            <w:r>
              <w:t>Safe templating/DOM APIs, encoding, sanitization where needed, CSP.</w:t>
            </w:r>
          </w:p>
        </w:tc>
      </w:tr>
      <w:tr>
        <w:tc>
          <w:tcPr>
            <w:tcW w:type="dxa" w:w="2520"/>
            <w:tcMar>
              <w:top w:w="80" w:type="dxa"/>
              <w:start w:w="90" w:type="dxa"/>
              <w:bottom w:w="80" w:type="dxa"/>
              <w:end w:w="90" w:type="dxa"/>
            </w:tcMar>
            <w:vAlign w:val="center"/>
          </w:tcPr>
          <w:p>
            <w:r>
              <w:t>P2</w:t>
            </w:r>
          </w:p>
        </w:tc>
        <w:tc>
          <w:tcPr>
            <w:tcW w:type="dxa" w:w="2520"/>
            <w:tcMar>
              <w:top w:w="80" w:type="dxa"/>
              <w:start w:w="90" w:type="dxa"/>
              <w:bottom w:w="80" w:type="dxa"/>
              <w:end w:w="90" w:type="dxa"/>
            </w:tcMar>
            <w:vAlign w:val="center"/>
          </w:tcPr>
          <w:p>
            <w:r>
              <w:t>VULN-04 - File exposure</w:t>
            </w:r>
          </w:p>
        </w:tc>
        <w:tc>
          <w:tcPr>
            <w:tcW w:type="dxa" w:w="2520"/>
            <w:tcMar>
              <w:top w:w="80" w:type="dxa"/>
              <w:start w:w="90" w:type="dxa"/>
              <w:bottom w:w="80" w:type="dxa"/>
              <w:end w:w="90" w:type="dxa"/>
            </w:tcMar>
            <w:vAlign w:val="center"/>
          </w:tcPr>
          <w:p>
            <w:r>
              <w:t>Disclosure of internal documents</w:t>
            </w:r>
          </w:p>
        </w:tc>
        <w:tc>
          <w:tcPr>
            <w:tcW w:type="dxa" w:w="2520"/>
            <w:tcMar>
              <w:top w:w="80" w:type="dxa"/>
              <w:start w:w="90" w:type="dxa"/>
              <w:bottom w:w="80" w:type="dxa"/>
              <w:end w:w="90" w:type="dxa"/>
            </w:tcMar>
            <w:vAlign w:val="center"/>
          </w:tcPr>
          <w:p>
            <w:r>
              <w:t>Remove from web root; require authorization; disable directory browsing.</w:t>
            </w:r>
          </w:p>
        </w:tc>
      </w:tr>
      <w:tr>
        <w:tc>
          <w:tcPr>
            <w:tcW w:type="dxa" w:w="2520"/>
            <w:tcMar>
              <w:top w:w="80" w:type="dxa"/>
              <w:start w:w="90" w:type="dxa"/>
              <w:bottom w:w="80" w:type="dxa"/>
              <w:end w:w="90" w:type="dxa"/>
            </w:tcMar>
            <w:vAlign w:val="center"/>
          </w:tcPr>
          <w:p>
            <w:r>
              <w:t>P3</w:t>
            </w:r>
          </w:p>
        </w:tc>
        <w:tc>
          <w:tcPr>
            <w:tcW w:type="dxa" w:w="2520"/>
            <w:tcMar>
              <w:top w:w="80" w:type="dxa"/>
              <w:start w:w="90" w:type="dxa"/>
              <w:bottom w:w="80" w:type="dxa"/>
              <w:end w:w="90" w:type="dxa"/>
            </w:tcMar>
            <w:vAlign w:val="center"/>
          </w:tcPr>
          <w:p>
            <w:r>
              <w:t>VULN-05 - Error disclosure</w:t>
            </w:r>
          </w:p>
        </w:tc>
        <w:tc>
          <w:tcPr>
            <w:tcW w:type="dxa" w:w="2520"/>
            <w:tcMar>
              <w:top w:w="80" w:type="dxa"/>
              <w:start w:w="90" w:type="dxa"/>
              <w:bottom w:w="80" w:type="dxa"/>
              <w:end w:w="90" w:type="dxa"/>
            </w:tcMar>
            <w:vAlign w:val="center"/>
          </w:tcPr>
          <w:p>
            <w:r>
              <w:t>Implementation fingerprinting</w:t>
            </w:r>
          </w:p>
        </w:tc>
        <w:tc>
          <w:tcPr>
            <w:tcW w:type="dxa" w:w="2520"/>
            <w:tcMar>
              <w:top w:w="80" w:type="dxa"/>
              <w:start w:w="90" w:type="dxa"/>
              <w:bottom w:w="80" w:type="dxa"/>
              <w:end w:w="90" w:type="dxa"/>
            </w:tcMar>
            <w:vAlign w:val="center"/>
          </w:tcPr>
          <w:p>
            <w:r>
              <w:t>Generic client errors; detailed logs only server-side.</w:t>
            </w:r>
          </w:p>
        </w:tc>
      </w:tr>
      <w:tr>
        <w:tc>
          <w:tcPr>
            <w:tcW w:type="dxa" w:w="2520"/>
            <w:tcMar>
              <w:top w:w="80" w:type="dxa"/>
              <w:start w:w="90" w:type="dxa"/>
              <w:bottom w:w="80" w:type="dxa"/>
              <w:end w:w="90" w:type="dxa"/>
            </w:tcMar>
            <w:vAlign w:val="center"/>
          </w:tcPr>
          <w:p>
            <w:r>
              <w:t>P3</w:t>
            </w:r>
          </w:p>
        </w:tc>
        <w:tc>
          <w:tcPr>
            <w:tcW w:type="dxa" w:w="2520"/>
            <w:tcMar>
              <w:top w:w="80" w:type="dxa"/>
              <w:start w:w="90" w:type="dxa"/>
              <w:bottom w:w="80" w:type="dxa"/>
              <w:end w:w="90" w:type="dxa"/>
            </w:tcMar>
            <w:vAlign w:val="center"/>
          </w:tcPr>
          <w:p>
            <w:r>
              <w:t>VULN-06 - CORS</w:t>
            </w:r>
          </w:p>
        </w:tc>
        <w:tc>
          <w:tcPr>
            <w:tcW w:type="dxa" w:w="2520"/>
            <w:tcMar>
              <w:top w:w="80" w:type="dxa"/>
              <w:start w:w="90" w:type="dxa"/>
              <w:bottom w:w="80" w:type="dxa"/>
              <w:end w:w="90" w:type="dxa"/>
            </w:tcMar>
            <w:vAlign w:val="center"/>
          </w:tcPr>
          <w:p>
            <w:r>
              <w:t>Over-broad cross-origin trust</w:t>
            </w:r>
          </w:p>
        </w:tc>
        <w:tc>
          <w:tcPr>
            <w:tcW w:type="dxa" w:w="2520"/>
            <w:tcMar>
              <w:top w:w="80" w:type="dxa"/>
              <w:start w:w="90" w:type="dxa"/>
              <w:bottom w:w="80" w:type="dxa"/>
              <w:end w:w="90" w:type="dxa"/>
            </w:tcMar>
            <w:vAlign w:val="center"/>
          </w:tcPr>
          <w:p>
            <w:r>
              <w:t>Allowlist trusted origins and limit methods/headers.</w:t>
            </w:r>
          </w:p>
        </w:tc>
      </w:tr>
    </w:tbl>
    <w:p>
      <w:pPr>
        <w:pStyle w:val="Heading1"/>
      </w:pPr>
      <w:r>
        <w:t>8. Retest Plan</w:t>
      </w:r>
    </w:p>
    <w:p>
      <w:pPr>
        <w:pStyle w:val="ListBullet"/>
      </w:pPr>
      <w:r>
        <w:rPr>
          <w:b/>
        </w:rPr>
      </w:r>
      <w:r/>
    </w:p>
    <w:p>
      <w:pPr>
        <w:pStyle w:val="ListBullet"/>
      </w:pPr>
      <w:r>
        <w:rPr>
          <w:b/>
        </w:rPr>
      </w:r>
      <w:r/>
    </w:p>
    <w:p>
      <w:pPr>
        <w:pStyle w:val="ListBullet"/>
      </w:pPr>
      <w:r>
        <w:rPr>
          <w:b/>
        </w:rPr>
      </w:r>
      <w:r/>
    </w:p>
    <w:p>
      <w:pPr>
        <w:pStyle w:val="ListBullet"/>
      </w:pPr>
      <w:r>
        <w:rPr>
          <w:b/>
        </w:rPr>
      </w:r>
      <w:r/>
    </w:p>
    <w:p>
      <w:pPr>
        <w:pStyle w:val="ListBullet"/>
      </w:pPr>
      <w:r>
        <w:rPr>
          <w:b/>
        </w:rPr>
      </w:r>
      <w:r/>
    </w:p>
    <w:p>
      <w:pPr>
        <w:pStyle w:val="ListBullet"/>
      </w:pPr>
      <w:r>
        <w:rPr>
          <w:b/>
        </w:rPr>
      </w:r>
      <w:r/>
    </w:p>
    <w:p>
      <w:pPr>
        <w:pStyle w:val="Heading1"/>
      </w:pPr>
      <w:r>
        <w:t>9. Limitations</w:t>
      </w:r>
    </w:p>
    <w:p>
      <w:pPr>
        <w:pStyle w:val="ListBullet"/>
      </w:pPr>
      <w:r>
        <w:t>The assessment targeted a deliberately vulnerable educational application; its behavior is not representative of a hardened production system.</w:t>
      </w:r>
    </w:p>
    <w:p>
      <w:pPr>
        <w:pStyle w:val="ListBullet"/>
      </w:pPr>
      <w:r>
        <w:t>Testing was confined to the local loopback host and did not assess network segmentation, infrastructure controls, source code, CI/CD, cloud configuration, or external dependencies.</w:t>
      </w:r>
    </w:p>
    <w:p>
      <w:pPr>
        <w:pStyle w:val="ListBullet"/>
      </w:pPr>
      <w:r>
        <w:t>Burp scanner findings were treated as supporting evidence; duplicate and informational items were not automatically promoted to report findings.</w:t>
      </w:r>
    </w:p>
    <w:p>
      <w:pPr>
        <w:pStyle w:val="ListBullet"/>
      </w:pPr>
      <w:r>
        <w:t>No persistence, destructive actions, data deletion, malware execution, or testing of unrelated external systems was performed.</w:t>
      </w:r>
    </w:p>
    <w:p>
      <w:pPr>
        <w:pStyle w:val="Heading1"/>
      </w:pPr>
      <w:r>
        <w:t>10. Conclusion</w:t>
      </w:r>
    </w:p>
    <w:p>
      <w:r>
        <w:t>The Project 2 lab successfully demonstrated a repeatable web application VAPT workflow using Kali Linux, Docker, command-line reconnaissance tools, and Burp Suite Professional. The exercise produced six defensible findings across authentication, injection, access control, client-side security, information disclosure, and security configuration. The strongest evidence comes from the successful SQL injection authentication bypass and the customer-to-administrator object access test, both validated directly against the local target.</w:t>
      </w:r>
    </w:p>
    <w:tbl>
      <w:tblPr>
        <w:tblW w:type="auto" w:w="0"/>
        <w:jc w:val="center"/>
        <w:tblLook w:firstColumn="1" w:firstRow="1" w:lastColumn="0" w:lastRow="0" w:noHBand="0" w:noVBand="1" w:val="04A0"/>
      </w:tblPr>
      <w:tblGrid>
        <w:gridCol w:w="10080"/>
      </w:tblGrid>
      <w:tr>
        <w:tc>
          <w:tcPr>
            <w:tcW w:type="dxa" w:w="10080"/>
            <w:shd w:fill="EEF4FF"/>
            <w:tcMar>
              <w:top w:w="120" w:type="dxa"/>
              <w:start w:w="150" w:type="dxa"/>
              <w:bottom w:w="120" w:type="dxa"/>
              <w:end w:w="150" w:type="dxa"/>
            </w:tcMar>
            <w:vAlign w:val="center"/>
          </w:tcPr>
          <w:p>
            <w:r>
              <w:rPr>
                <w:b/>
                <w:color w:val="2F5AA8"/>
                <w:sz w:val="22"/>
              </w:rPr>
              <w:t>Portfolio positioning</w:t>
            </w:r>
          </w:p>
          <w:p>
            <w:pPr>
              <w:spacing w:after="0"/>
            </w:pPr>
            <w:r>
              <w:rPr>
                <w:sz w:val="19"/>
              </w:rPr>
              <w:t>This project demonstrates hands-on capability in web application reconnaissance, API testing, authentication testing, Burp Suite workflow, controlled exploitation, evidence collection, vulnerability classification, and remediation planning.</w:t>
            </w:r>
          </w:p>
        </w:tc>
      </w:tr>
    </w:tbl>
    <w:p>
      <w:pPr>
        <w:pStyle w:val="Heading1"/>
      </w:pPr>
      <w:r>
        <w:t>11. References</w:t>
      </w:r>
    </w:p>
    <w:p>
      <w:pPr>
        <w:pStyle w:val="ListBullet"/>
      </w:pPr>
      <w:r>
        <w:t xml:space="preserve">OWASP Top 10:2025: </w:t>
      </w:r>
      <w:hyperlink r:id="rId18">
        <w:r>
          <w:rPr>
            <w:color w:val="0563C1"/>
            <w:u w:val="single"/>
          </w:rPr>
          <w:t>https://top10.owasp.org/2025/</w:t>
        </w:r>
      </w:hyperlink>
    </w:p>
    <w:p>
      <w:pPr>
        <w:pStyle w:val="ListBullet"/>
      </w:pPr>
      <w:r>
        <w:t xml:space="preserve">OWASP A01:2025 - Broken Access Control: </w:t>
      </w:r>
      <w:hyperlink r:id="rId19">
        <w:r>
          <w:rPr>
            <w:color w:val="0563C1"/>
            <w:u w:val="single"/>
          </w:rPr>
          <w:t>https://top10.owasp.org/2025/A01_2025-Broken_Access_Control/</w:t>
        </w:r>
      </w:hyperlink>
    </w:p>
    <w:p>
      <w:pPr>
        <w:pStyle w:val="ListBullet"/>
      </w:pPr>
      <w:r>
        <w:t xml:space="preserve">OWASP A02:2025 - Security Misconfiguration: </w:t>
      </w:r>
      <w:hyperlink r:id="rId20">
        <w:r>
          <w:rPr>
            <w:color w:val="0563C1"/>
            <w:u w:val="single"/>
          </w:rPr>
          <w:t>https://top10.owasp.org/2025/A02_2025-Security_Misconfiguration/</w:t>
        </w:r>
      </w:hyperlink>
    </w:p>
    <w:p>
      <w:pPr>
        <w:pStyle w:val="ListBullet"/>
      </w:pPr>
      <w:r>
        <w:t xml:space="preserve">OWASP A05:2025 - Injection: </w:t>
      </w:r>
      <w:hyperlink r:id="rId21">
        <w:r>
          <w:rPr>
            <w:color w:val="0563C1"/>
            <w:u w:val="single"/>
          </w:rPr>
          <w:t>https://top10.owasp.org/2025/A05_2025-Injection/</w:t>
        </w:r>
      </w:hyperlink>
    </w:p>
    <w:p>
      <w:pPr>
        <w:pStyle w:val="ListBullet"/>
      </w:pPr>
      <w:r>
        <w:t xml:space="preserve">OWASP A07:2025 - Authentication Failures: </w:t>
      </w:r>
      <w:hyperlink r:id="rId22">
        <w:r>
          <w:rPr>
            <w:color w:val="0563C1"/>
            <w:u w:val="single"/>
          </w:rPr>
          <w:t>https://top10.owasp.org/2025/A07_2025-Authentication_Failures/</w:t>
        </w:r>
      </w:hyperlink>
    </w:p>
    <w:p>
      <w:pPr>
        <w:pStyle w:val="ListBullet"/>
      </w:pPr>
      <w:r>
        <w:t xml:space="preserve">OWASP A10:2025 - Mishandling of Exceptional Conditions: </w:t>
      </w:r>
      <w:hyperlink r:id="rId23">
        <w:r>
          <w:rPr>
            <w:color w:val="0563C1"/>
            <w:u w:val="single"/>
          </w:rPr>
          <w:t>https://top10.owasp.org/2025/A10_2025-Mishandling_of_Exceptional_Conditions/</w:t>
        </w:r>
      </w:hyperlink>
    </w:p>
    <w:p>
      <w:pPr>
        <w:pStyle w:val="ListBullet"/>
      </w:pPr>
      <w:r>
        <w:t xml:space="preserve">CWE-79 - Improper Neutralization of Input During Web Page Generation: </w:t>
      </w:r>
      <w:hyperlink r:id="rId24">
        <w:r>
          <w:rPr>
            <w:color w:val="0563C1"/>
            <w:u w:val="single"/>
          </w:rPr>
          <w:t>https://cwe.mitre.org/data/definitions/79.html</w:t>
        </w:r>
      </w:hyperlink>
    </w:p>
    <w:p>
      <w:pPr>
        <w:pStyle w:val="ListBullet"/>
      </w:pPr>
      <w:r>
        <w:t xml:space="preserve">CWE-209 - Generation of Error Message Containing Sensitive Information: </w:t>
      </w:r>
      <w:hyperlink r:id="rId25">
        <w:r>
          <w:rPr>
            <w:color w:val="0563C1"/>
            <w:u w:val="single"/>
          </w:rPr>
          <w:t>https://cwe.mitre.org/data/definitions/209.html</w:t>
        </w:r>
      </w:hyperlink>
    </w:p>
    <w:p>
      <w:pPr>
        <w:pStyle w:val="ListBullet"/>
      </w:pPr>
      <w:r>
        <w:t xml:space="preserve">CWE-942 - Permissive Cross-domain Policy with Untrusted Domains: </w:t>
      </w:r>
      <w:hyperlink r:id="rId26">
        <w:r>
          <w:rPr>
            <w:color w:val="0563C1"/>
            <w:u w:val="single"/>
          </w:rPr>
          <w:t>https://cwe.mitre.org/data/definitions/942.html</w:t>
        </w:r>
      </w:hyperlink>
    </w:p>
    <w:p>
      <w:pPr>
        <w:pStyle w:val="ListBullet"/>
      </w:pPr>
      <w:r>
        <w:t xml:space="preserve">PortSwigger Web Security Academy: </w:t>
      </w:r>
      <w:hyperlink r:id="rId27">
        <w:r>
          <w:rPr>
            <w:color w:val="0563C1"/>
            <w:u w:val="single"/>
          </w:rPr>
          <w:t>https://portswigger.net/web-security</w:t>
        </w:r>
      </w:hyperlink>
    </w:p>
    <w:p>
      <w:pPr>
        <w:pStyle w:val="Heading1"/>
      </w:pPr>
      <w:r>
        <w:t>Appendix A - Key Commands Used</w:t>
      </w:r>
    </w:p>
    <w:p>
      <w:r>
        <w:rPr>
          <w:b/>
        </w:rPr>
        <w:t xml:space="preserve">Nmap: </w:t>
      </w:r>
    </w:p>
    <w:p>
      <w:pPr>
        <w:pStyle w:val="CodeBlock"/>
      </w:pPr>
      <w:r>
        <w:t>nmap -sV -p 3000 127.0.0.1</w:t>
      </w:r>
    </w:p>
    <w:p>
      <w:r>
        <w:rPr>
          <w:b/>
        </w:rPr>
        <w:t xml:space="preserve">WhatWeb: </w:t>
      </w:r>
    </w:p>
    <w:p>
      <w:pPr>
        <w:pStyle w:val="CodeBlock"/>
      </w:pPr>
      <w:r>
        <w:t>whatweb http://127.0.0.1:3000</w:t>
      </w:r>
    </w:p>
    <w:p>
      <w:r>
        <w:rPr>
          <w:b/>
        </w:rPr>
        <w:t xml:space="preserve">robots.txt: </w:t>
      </w:r>
    </w:p>
    <w:p>
      <w:pPr>
        <w:pStyle w:val="CodeBlock"/>
      </w:pPr>
      <w:r>
        <w:t>curl -s http://127.0.0.1:3000/robots.txt</w:t>
      </w:r>
    </w:p>
    <w:p>
      <w:r>
        <w:rPr>
          <w:b/>
        </w:rPr>
        <w:t xml:space="preserve">FTP listing: </w:t>
      </w:r>
    </w:p>
    <w:p>
      <w:pPr>
        <w:pStyle w:val="CodeBlock"/>
      </w:pPr>
      <w:r>
        <w:t>curl -s http://127.0.0.1:3000/ftp</w:t>
      </w:r>
    </w:p>
    <w:p>
      <w:r>
        <w:rPr>
          <w:b/>
        </w:rPr>
        <w:t xml:space="preserve">Sensitive file: </w:t>
      </w:r>
    </w:p>
    <w:p>
      <w:pPr>
        <w:pStyle w:val="CodeBlock"/>
      </w:pPr>
      <w:r>
        <w:t>curl -s http://127.0.0.1:3000/ftp/acquisitions.md</w:t>
      </w:r>
    </w:p>
    <w:p>
      <w:r>
        <w:rPr>
          <w:b/>
        </w:rPr>
        <w:t xml:space="preserve">Nikto: </w:t>
      </w:r>
    </w:p>
    <w:p>
      <w:pPr>
        <w:pStyle w:val="CodeBlock"/>
      </w:pPr>
      <w:r>
        <w:t>nikto -h http://127.0.0.1:3000</w:t>
      </w:r>
    </w:p>
    <w:p>
      <w:r>
        <w:rPr>
          <w:b/>
        </w:rPr>
        <w:t xml:space="preserve">SQLi login test: </w:t>
      </w:r>
    </w:p>
    <w:p>
      <w:pPr>
        <w:pStyle w:val="CodeBlock"/>
      </w:pPr>
      <w:r>
        <w:t>POST /rest/user/login with email value: ' OR 1=1--</w:t>
      </w:r>
    </w:p>
    <w:p>
      <w:r>
        <w:rPr>
          <w:b/>
        </w:rPr>
        <w:t xml:space="preserve">XSS test: </w:t>
      </w:r>
    </w:p>
    <w:p>
      <w:pPr>
        <w:pStyle w:val="CodeBlock"/>
      </w:pPr>
      <w:r>
        <w:t>/#/search?q=&lt;iframe src="javascript:alert('xss')"&gt;</w:t>
      </w:r>
    </w:p>
    <w:p>
      <w:r>
        <w:rPr>
          <w:b/>
        </w:rPr>
        <w:t xml:space="preserve">IDOR test: </w:t>
      </w:r>
    </w:p>
    <w:p>
      <w:pPr>
        <w:pStyle w:val="CodeBlock"/>
      </w:pPr>
      <w:r>
        <w:t>GET /api/Users/1 using a normal customer token (test account ID 25)</w:t>
      </w:r>
    </w:p>
    <w:sectPr w:rsidR="00FC693F" w:rsidRPr="0006063C" w:rsidSect="00034616">
      <w:headerReference w:type="default" r:id="rId9"/>
      <w:footerReference w:type="default" r:id="rId10"/>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26C"/>
        <w:sz w:val="16"/>
      </w:rPr>
      <w:t xml:space="preserve">OWASP Juice Shop - Authorized Local Lab   |   </w:t>
    </w:r>
    <w:r>
      <w:rPr>
        <w:color w:val="5A626C"/>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A626C"/>
        <w:sz w:val="16"/>
      </w:rPr>
      <w:t>PROJECT 2  |  WEB APPLICATION VAPT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ptos Display" w:hAnsi="Aptos Display"/>
      <w:b/>
      <w:bCs/>
      <w:color w:val="0B1F3A"/>
      <w:sz w:val="3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Display" w:hAnsi="Aptos Display"/>
      <w:b/>
      <w:bCs/>
      <w:color w:val="2F5AA8"/>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ptos" w:hAnsi="Aptos"/>
      <w:b/>
      <w:bCs/>
      <w:color w:val="5A626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259"/>
    </w:pPr>
    <w:rPr>
      <w:rFonts w:ascii="Consolas" w:hAnsi="Consolas"/>
      <w:color w:val="25304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top10.owasp.org/2025/" TargetMode="External"/><Relationship Id="rId19" Type="http://schemas.openxmlformats.org/officeDocument/2006/relationships/hyperlink" Target="https://top10.owasp.org/2025/A01_2025-Broken_Access_Control/" TargetMode="External"/><Relationship Id="rId20" Type="http://schemas.openxmlformats.org/officeDocument/2006/relationships/hyperlink" Target="https://top10.owasp.org/2025/A02_2025-Security_Misconfiguration/" TargetMode="External"/><Relationship Id="rId21" Type="http://schemas.openxmlformats.org/officeDocument/2006/relationships/hyperlink" Target="https://top10.owasp.org/2025/A05_2025-Injection/" TargetMode="External"/><Relationship Id="rId22" Type="http://schemas.openxmlformats.org/officeDocument/2006/relationships/hyperlink" Target="https://top10.owasp.org/2025/A07_2025-Authentication_Failures/" TargetMode="External"/><Relationship Id="rId23" Type="http://schemas.openxmlformats.org/officeDocument/2006/relationships/hyperlink" Target="https://top10.owasp.org/2025/A10_2025-Mishandling_of_Exceptional_Conditions/" TargetMode="External"/><Relationship Id="rId24" Type="http://schemas.openxmlformats.org/officeDocument/2006/relationships/hyperlink" Target="https://cwe.mitre.org/data/definitions/79.html" TargetMode="External"/><Relationship Id="rId25" Type="http://schemas.openxmlformats.org/officeDocument/2006/relationships/hyperlink" Target="https://cwe.mitre.org/data/definitions/209.html" TargetMode="External"/><Relationship Id="rId26" Type="http://schemas.openxmlformats.org/officeDocument/2006/relationships/hyperlink" Target="https://cwe.mitre.org/data/definitions/942.html" TargetMode="External"/><Relationship Id="rId27" Type="http://schemas.openxmlformats.org/officeDocument/2006/relationships/hyperlink" Target="https://portswigger.net/web-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2 - Web Application VAPT Report</dc:title>
  <dc:subject>OWASP Juice Shop Web Application VAPT</dc:subject>
  <dc:creator>Cybersecurity Portfolio Lab</dc:creator>
  <cp:keywords>VAPT, OWASP Juice Shop, Burp Suite, SQL Injection, XSS, IDOR, CORS</cp:keywords>
  <dc:description>generated by python-docx</dc:description>
  <cp:lastModifiedBy/>
  <cp:revision>1</cp:revision>
  <dcterms:created xsi:type="dcterms:W3CDTF">2013-12-23T23:15:00Z</dcterms:created>
  <dcterms:modified xsi:type="dcterms:W3CDTF">2013-12-23T23:15:00Z</dcterms:modified>
  <cp:category/>
</cp:coreProperties>
</file>