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rFonts w:ascii="Arial" w:cs="Arial" w:eastAsia="Arial" w:hAnsi="Arial"/>
          <w:b/>
          <w:bCs/>
          <w:color w:val="000000"/>
          <w:sz w:val="60"/>
          <w:szCs w:val="60"/>
        </w:rPr>
        <w:t xml:space="preserve">CompliVibe</w:t>
      </w:r>
    </w:p>
    <w:p>
      <w:pPr>
        <w:spacing w:after="200"/>
      </w:pPr>
      <w:r>
        <w:rPr>
          <w:rFonts w:ascii="Arial" w:cs="Arial" w:eastAsia="Arial" w:hAnsi="Arial"/>
          <w:color w:val="555555"/>
          <w:spacing w:val="44"/>
          <w:sz w:val="22"/>
          <w:szCs w:val="22"/>
        </w:rPr>
        <w:t xml:space="preserve">THE AI TRUST INFRASTRUCTURE COMPANY</w:t>
      </w:r>
    </w:p>
    <w:p>
      <w:pPr>
        <w:pBdr>
          <w:bottom w:val="single" w:color="000000" w:sz="6" w:space="1"/>
        </w:pBdr>
        <w:spacing w:after="150" w:before="40"/>
      </w:pPr>
      <w:r>
        <w:rPr>
          <w:rFonts w:ascii="Arial" w:cs="Arial" w:eastAsia="Arial" w:hAnsi="Arial"/>
        </w:rPr>
        <w:t xml:space="preserve"/>
      </w:r>
    </w:p>
    <w:p>
      <w:pPr>
        <w:spacing w:after="40" w:before="80"/>
      </w:pPr>
      <w:r>
        <w:rPr>
          <w:rFonts w:ascii="Arial" w:cs="Arial" w:eastAsia="Arial" w:hAnsi="Arial"/>
          <w:b/>
          <w:bCs/>
          <w:color w:val="000000"/>
          <w:sz w:val="26"/>
          <w:szCs w:val="26"/>
        </w:rPr>
        <w:t xml:space="preserve">COMPANY &amp; PRODUCT REPORT</w:t>
      </w:r>
    </w:p>
    <w:p>
      <w:pPr>
        <w:spacing w:after="40"/>
      </w:pPr>
      <w:r>
        <w:rPr>
          <w:rFonts w:ascii="Arial" w:cs="Arial" w:eastAsia="Arial" w:hAnsi="Arial"/>
          <w:color w:val="555555"/>
          <w:sz w:val="19"/>
          <w:szCs w:val="19"/>
        </w:rPr>
        <w:t xml:space="preserve">The complete picture — positioning, product, traction, market, model, plans, and team,</w:t>
      </w:r>
    </w:p>
    <w:p>
      <w:pPr>
        <w:spacing w:after="40"/>
      </w:pPr>
      <w:r>
        <w:rPr>
          <w:rFonts w:ascii="Arial" w:cs="Arial" w:eastAsia="Arial" w:hAnsi="Arial"/>
          <w:color w:val="555555"/>
          <w:sz w:val="19"/>
          <w:szCs w:val="19"/>
        </w:rPr>
        <w:t xml:space="preserve">for leadership, partners, and investor conversations.</w:t>
      </w:r>
    </w:p>
    <w:p>
      <w:pPr>
        <w:spacing w:after="20" w:before="1300"/>
      </w:pPr>
      <w:r>
        <w:rPr>
          <w:rFonts w:ascii="Arial" w:cs="Arial" w:eastAsia="Arial" w:hAnsi="Arial"/>
          <w:color w:val="999999"/>
          <w:sz w:val="16"/>
          <w:szCs w:val="16"/>
        </w:rPr>
        <w:t xml:space="preserve">CompliVibe Private Limited · Incorporated June 2026 · Gurugram, India · Global operations</w:t>
      </w:r>
    </w:p>
    <w:p>
      <w:r>
        <w:rPr>
          <w:rFonts w:ascii="Arial" w:cs="Arial" w:eastAsia="Arial" w:hAnsi="Arial"/>
          <w:color w:val="999999"/>
          <w:sz w:val="16"/>
          <w:szCs w:val="16"/>
        </w:rPr>
        <w:t xml:space="preserve">Confidential · Version 1.0</w:t>
      </w:r>
    </w:p>
    <w:p>
      <w:pPr>
        <w:pageBreakBefore/>
      </w:pPr>
    </w:p>
    <w:p>
      <w:pPr>
        <w:pStyle w:val="Heading1"/>
        <w:spacing w:after="40" w:before="300"/>
      </w:pPr>
      <w:r>
        <w:rPr>
          <w:rFonts w:ascii="Arial" w:cs="Arial" w:eastAsia="Arial" w:hAnsi="Arial"/>
          <w:b/>
          <w:bCs/>
          <w:color w:val="000000"/>
          <w:sz w:val="24"/>
          <w:szCs w:val="24"/>
        </w:rPr>
        <w:t xml:space="preserve">01  </w:t>
      </w:r>
      <w:r>
        <w:rPr>
          <w:rFonts w:ascii="Arial" w:cs="Arial" w:eastAsia="Arial" w:hAnsi="Arial"/>
          <w:b/>
          <w:bCs/>
          <w:color w:val="000000"/>
          <w:sz w:val="24"/>
          <w:szCs w:val="24"/>
        </w:rPr>
        <w:t xml:space="preserve">EXECUTIVE SUMMARY</w:t>
      </w:r>
    </w:p>
    <w:p>
      <w:pPr>
        <w:pBdr>
          <w:bottom w:val="single" w:color="000000" w:sz="6" w:space="1"/>
        </w:pBdr>
        <w:spacing w:after="150" w:before="40"/>
      </w:pPr>
      <w:r>
        <w:rPr>
          <w:rFonts w:ascii="Arial" w:cs="Arial" w:eastAsia="Arial" w:hAnsi="Arial"/>
        </w:rPr>
        <w:t xml:space="preserve"/>
      </w:r>
    </w:p>
    <w:p>
      <w:pPr>
        <w:spacing w:after="130"/>
      </w:pPr>
      <w:r>
        <w:rPr>
          <w:rFonts w:ascii="Arial" w:cs="Arial" w:eastAsia="Arial" w:hAnsi="Arial"/>
          <w:i/>
          <w:iCs/>
          <w:color w:val="555555"/>
          <w:sz w:val="20"/>
          <w:szCs w:val="20"/>
        </w:rPr>
        <w:t xml:space="preserve">CompliVibe is the trust layer for the AI era — the system organisations use to prove their AI is safe, compliant, and accountable, anywhere in the world.</w:t>
      </w:r>
    </w:p>
    <w:p>
      <w:pPr>
        <w:spacing w:after="100"/>
      </w:pPr>
      <w:r>
        <w:rPr>
          <w:rFonts w:ascii="Arial" w:cs="Arial" w:eastAsia="Arial" w:hAnsi="Arial"/>
          <w:color w:val="000000"/>
          <w:sz w:val="19"/>
          <w:szCs w:val="19"/>
        </w:rPr>
        <w:t xml:space="preserve">AI is becoming foundational to every company. The bottleneck to deploying it is no longer capability — it is trust. Regulators, enterprise buyers, boards, and insurers all need proof that an AI system is governed. Today there is no default way to prove it. CompliVibe is building that default: a unified platform spanning AI inventory, risk, security, observability, evidence, and trust reporting across every major framework.</w:t>
      </w:r>
    </w:p>
    <w:p>
      <w:pPr>
        <w:spacing w:after="100"/>
      </w:pPr>
      <w:r>
        <w:rPr>
          <w:rFonts w:ascii="Arial" w:cs="Arial" w:eastAsia="Arial" w:hAnsi="Arial"/>
          <w:color w:val="000000"/>
          <w:sz w:val="19"/>
          <w:szCs w:val="19"/>
        </w:rPr>
        <w:t xml:space="preserve">Unlike security-compliance incumbents that bolted AI on as an afterthought, CompliVibe is AI-native from day one — a global, enterprise-grade platform, not an MVP. It is live, with paying customers acquired within days of launch, patented technology, and a data room open to investors.</w:t>
      </w:r>
    </w:p>
    <w:tbl>
      <w:tblPr>
        <w:tblW w:type="pct" w:w="100%"/>
        <w:tblBorders>
          <w:top w:val="none"/>
          <w:left w:val="none"/>
          <w:bottom w:val="none"/>
          <w:right w:val="none"/>
          <w:insideH w:val="single" w:color="FFFFFF" w:sz="24"/>
          <w:insideV w:val="single" w:color="FFFFFF" w:sz="24"/>
        </w:tblBorders>
      </w:tblPr>
      <w:tblGrid>
        <w:gridCol w:w="3000"/>
        <w:gridCol w:w="3000"/>
        <w:gridCol w:w="3000"/>
        <w:gridCol w:w="3000"/>
      </w:tblGrid>
      <w:tr>
        <w:tc>
          <w:tcPr>
            <w:tcW w:type="pct" w:w="25%"/>
            <w:shd w:fill="000000" w:val="clear"/>
            <w:tcMar>
              <w:top w:type="dxa" w:w="130"/>
              <w:left w:type="dxa" w:w="120"/>
              <w:bottom w:type="dxa" w:w="130"/>
              <w:right w:type="dxa" w:w="120"/>
            </w:tcMar>
          </w:tcPr>
          <w:p>
            <w:pPr>
              <w:spacing w:after="30"/>
              <w:jc w:val="center"/>
            </w:pPr>
            <w:r>
              <w:rPr>
                <w:rFonts w:ascii="Arial" w:cs="Arial" w:eastAsia="Arial" w:hAnsi="Arial"/>
                <w:b/>
                <w:bCs/>
                <w:color w:val="FFFFFF"/>
                <w:sz w:val="30"/>
                <w:szCs w:val="30"/>
              </w:rPr>
              <w:t xml:space="preserve">6</w:t>
            </w:r>
          </w:p>
          <w:p>
            <w:pPr>
              <w:jc w:val="center"/>
            </w:pPr>
            <w:r>
              <w:rPr>
                <w:rFonts w:ascii="Arial" w:cs="Arial" w:eastAsia="Arial" w:hAnsi="Arial"/>
                <w:color w:val="D7DEE8"/>
                <w:sz w:val="14"/>
                <w:szCs w:val="14"/>
              </w:rPr>
              <w:t xml:space="preserve">frameworks covered</w:t>
            </w:r>
          </w:p>
        </w:tc>
        <w:tc>
          <w:tcPr>
            <w:tcW w:type="pct" w:w="25%"/>
            <w:shd w:fill="000000" w:val="clear"/>
            <w:tcMar>
              <w:top w:type="dxa" w:w="130"/>
              <w:left w:type="dxa" w:w="120"/>
              <w:bottom w:type="dxa" w:w="130"/>
              <w:right w:type="dxa" w:w="120"/>
            </w:tcMar>
          </w:tcPr>
          <w:p>
            <w:pPr>
              <w:spacing w:after="30"/>
              <w:jc w:val="center"/>
            </w:pPr>
            <w:r>
              <w:rPr>
                <w:rFonts w:ascii="Arial" w:cs="Arial" w:eastAsia="Arial" w:hAnsi="Arial"/>
                <w:b/>
                <w:bCs/>
                <w:color w:val="FFFFFF"/>
                <w:sz w:val="30"/>
                <w:szCs w:val="30"/>
              </w:rPr>
              <w:t xml:space="preserve">828</w:t>
            </w:r>
          </w:p>
          <w:p>
            <w:pPr>
              <w:jc w:val="center"/>
            </w:pPr>
            <w:r>
              <w:rPr>
                <w:rFonts w:ascii="Arial" w:cs="Arial" w:eastAsia="Arial" w:hAnsi="Arial"/>
                <w:color w:val="D7DEE8"/>
                <w:sz w:val="14"/>
                <w:szCs w:val="14"/>
              </w:rPr>
              <w:t xml:space="preserve">mapped obligations</w:t>
            </w:r>
          </w:p>
        </w:tc>
        <w:tc>
          <w:tcPr>
            <w:tcW w:type="pct" w:w="25%"/>
            <w:shd w:fill="000000" w:val="clear"/>
            <w:tcMar>
              <w:top w:type="dxa" w:w="130"/>
              <w:left w:type="dxa" w:w="120"/>
              <w:bottom w:type="dxa" w:w="130"/>
              <w:right w:type="dxa" w:w="120"/>
            </w:tcMar>
          </w:tcPr>
          <w:p>
            <w:pPr>
              <w:spacing w:after="30"/>
              <w:jc w:val="center"/>
            </w:pPr>
            <w:r>
              <w:rPr>
                <w:rFonts w:ascii="Arial" w:cs="Arial" w:eastAsia="Arial" w:hAnsi="Arial"/>
                <w:b/>
                <w:bCs/>
                <w:color w:val="FFFFFF"/>
                <w:sz w:val="30"/>
                <w:szCs w:val="30"/>
              </w:rPr>
              <w:t xml:space="preserve">5</w:t>
            </w:r>
          </w:p>
          <w:p>
            <w:pPr>
              <w:jc w:val="center"/>
            </w:pPr>
            <w:r>
              <w:rPr>
                <w:rFonts w:ascii="Arial" w:cs="Arial" w:eastAsia="Arial" w:hAnsi="Arial"/>
                <w:color w:val="D7DEE8"/>
                <w:sz w:val="14"/>
                <w:szCs w:val="14"/>
              </w:rPr>
              <w:t xml:space="preserve">patents filed</w:t>
            </w:r>
          </w:p>
        </w:tc>
        <w:tc>
          <w:tcPr>
            <w:tcW w:type="pct" w:w="25%"/>
            <w:shd w:fill="000000" w:val="clear"/>
            <w:tcMar>
              <w:top w:type="dxa" w:w="130"/>
              <w:left w:type="dxa" w:w="120"/>
              <w:bottom w:type="dxa" w:w="130"/>
              <w:right w:type="dxa" w:w="120"/>
            </w:tcMar>
          </w:tcPr>
          <w:p>
            <w:pPr>
              <w:spacing w:after="30"/>
              <w:jc w:val="center"/>
            </w:pPr>
            <w:r>
              <w:rPr>
                <w:rFonts w:ascii="Arial" w:cs="Arial" w:eastAsia="Arial" w:hAnsi="Arial"/>
                <w:b/>
                <w:bCs/>
                <w:color w:val="FFFFFF"/>
                <w:sz w:val="30"/>
                <w:szCs w:val="30"/>
              </w:rPr>
              <w:t xml:space="preserve">48h</w:t>
            </w:r>
          </w:p>
          <w:p>
            <w:pPr>
              <w:jc w:val="center"/>
            </w:pPr>
            <w:r>
              <w:rPr>
                <w:rFonts w:ascii="Arial" w:cs="Arial" w:eastAsia="Arial" w:hAnsi="Arial"/>
                <w:color w:val="D7DEE8"/>
                <w:sz w:val="14"/>
                <w:szCs w:val="14"/>
              </w:rPr>
              <w:t xml:space="preserve">update velocity</w:t>
            </w:r>
          </w:p>
        </w:tc>
      </w:tr>
    </w:tbl>
    <w:p>
      <w:pPr>
        <w:pStyle w:val="Heading1"/>
        <w:spacing w:after="40" w:before="300"/>
      </w:pPr>
      <w:r>
        <w:rPr>
          <w:rFonts w:ascii="Arial" w:cs="Arial" w:eastAsia="Arial" w:hAnsi="Arial"/>
          <w:b/>
          <w:bCs/>
          <w:color w:val="000000"/>
          <w:sz w:val="24"/>
          <w:szCs w:val="24"/>
        </w:rPr>
        <w:t xml:space="preserve">02  </w:t>
      </w:r>
      <w:r>
        <w:rPr>
          <w:rFonts w:ascii="Arial" w:cs="Arial" w:eastAsia="Arial" w:hAnsi="Arial"/>
          <w:b/>
          <w:bCs/>
          <w:color w:val="000000"/>
          <w:sz w:val="24"/>
          <w:szCs w:val="24"/>
        </w:rPr>
        <w:t xml:space="preserve">POSITIONING</w:t>
      </w:r>
    </w:p>
    <w:p>
      <w:pPr>
        <w:pBdr>
          <w:bottom w:val="single" w:color="000000" w:sz="6" w:space="1"/>
        </w:pBdr>
        <w:spacing w:after="150" w:before="40"/>
      </w:pPr>
      <w:r>
        <w:rPr>
          <w:rFonts w:ascii="Arial" w:cs="Arial" w:eastAsia="Arial" w:hAnsi="Arial"/>
        </w:rPr>
        <w:t xml:space="preserve"/>
      </w:r>
    </w:p>
    <w:p>
      <w:pPr>
        <w:spacing w:after="130"/>
      </w:pPr>
      <w:r>
        <w:rPr>
          <w:rFonts w:ascii="Arial" w:cs="Arial" w:eastAsia="Arial" w:hAnsi="Arial"/>
          <w:i/>
          <w:iCs/>
          <w:color w:val="555555"/>
          <w:sz w:val="20"/>
          <w:szCs w:val="20"/>
        </w:rPr>
        <w:t xml:space="preserve">Not a compliance tool. The global trust infrastructure for AI.</w:t>
      </w:r>
    </w:p>
    <w:p>
      <w:pPr>
        <w:spacing w:after="100"/>
      </w:pPr>
      <w:r>
        <w:rPr>
          <w:rFonts w:ascii="Arial" w:cs="Arial" w:eastAsia="Arial" w:hAnsi="Arial"/>
          <w:color w:val="000000"/>
          <w:sz w:val="19"/>
          <w:szCs w:val="19"/>
        </w:rPr>
        <w:t xml:space="preserve">Compliance is one outcome of trustworthy AI, not the destination. CompliVibe is positioned as infrastructure — analogous to what cloud became for software. Every organisation will eventually need both AI infrastructure and AI trust infrastructure; CompliVibe intends to be the latter, globally, from day one.</w:t>
      </w:r>
    </w:p>
    <w:p>
      <w:pPr>
        <w:pStyle w:val="ListParagraph"/>
        <w:numPr>
          <w:ilvl w:val="0"/>
          <w:numId w:val="2"/>
        </w:numPr>
        <w:spacing w:after="30"/>
      </w:pPr>
      <w:r>
        <w:rPr>
          <w:rFonts w:ascii="Arial" w:cs="Arial" w:eastAsia="Arial" w:hAnsi="Arial"/>
          <w:b/>
          <w:bCs/>
          <w:color w:val="000000"/>
          <w:sz w:val="19"/>
          <w:szCs w:val="19"/>
        </w:rPr>
        <w:t xml:space="preserve">Unified — </w:t>
      </w:r>
      <w:r>
        <w:rPr>
          <w:rFonts w:ascii="Arial" w:cs="Arial" w:eastAsia="Arial" w:hAnsi="Arial"/>
          <w:color w:val="000000"/>
          <w:sz w:val="19"/>
          <w:szCs w:val="19"/>
        </w:rPr>
        <w:t xml:space="preserve">A unified system replacing fragmented spreadsheets and manual governance.</w:t>
      </w:r>
    </w:p>
    <w:p>
      <w:pPr>
        <w:pStyle w:val="ListParagraph"/>
        <w:numPr>
          <w:ilvl w:val="0"/>
          <w:numId w:val="2"/>
        </w:numPr>
        <w:spacing w:after="30"/>
      </w:pPr>
      <w:r>
        <w:rPr>
          <w:rFonts w:ascii="Arial" w:cs="Arial" w:eastAsia="Arial" w:hAnsi="Arial"/>
          <w:b/>
          <w:bCs/>
          <w:color w:val="000000"/>
          <w:sz w:val="19"/>
          <w:szCs w:val="19"/>
        </w:rPr>
        <w:t xml:space="preserve">AI-native — </w:t>
      </w:r>
      <w:r>
        <w:rPr>
          <w:rFonts w:ascii="Arial" w:cs="Arial" w:eastAsia="Arial" w:hAnsi="Arial"/>
          <w:color w:val="000000"/>
          <w:sz w:val="19"/>
          <w:szCs w:val="19"/>
        </w:rPr>
        <w:t xml:space="preserve">AI-native, covering governance, risk, observability, evidence, and compliance automation in one platform.</w:t>
      </w:r>
    </w:p>
    <w:p>
      <w:pPr>
        <w:pStyle w:val="ListParagraph"/>
        <w:numPr>
          <w:ilvl w:val="0"/>
          <w:numId w:val="2"/>
        </w:numPr>
        <w:spacing w:after="30"/>
      </w:pPr>
      <w:r>
        <w:rPr>
          <w:rFonts w:ascii="Arial" w:cs="Arial" w:eastAsia="Arial" w:hAnsi="Arial"/>
          <w:b/>
          <w:bCs/>
          <w:color w:val="000000"/>
          <w:sz w:val="19"/>
          <w:szCs w:val="19"/>
        </w:rPr>
        <w:t xml:space="preserve">Global — </w:t>
      </w:r>
      <w:r>
        <w:rPr>
          <w:rFonts w:ascii="Arial" w:cs="Arial" w:eastAsia="Arial" w:hAnsi="Arial"/>
          <w:color w:val="000000"/>
          <w:sz w:val="19"/>
          <w:szCs w:val="19"/>
        </w:rPr>
        <w:t xml:space="preserve">Global and enterprise-grade — built for worldwide customers, not one region.</w:t>
      </w:r>
    </w:p>
    <w:p>
      <w:pPr>
        <w:pStyle w:val="Heading1"/>
        <w:spacing w:after="40" w:before="300"/>
      </w:pPr>
      <w:r>
        <w:rPr>
          <w:rFonts w:ascii="Arial" w:cs="Arial" w:eastAsia="Arial" w:hAnsi="Arial"/>
          <w:b/>
          <w:bCs/>
          <w:color w:val="000000"/>
          <w:sz w:val="24"/>
          <w:szCs w:val="24"/>
        </w:rPr>
        <w:t xml:space="preserve">03  </w:t>
      </w:r>
      <w:r>
        <w:rPr>
          <w:rFonts w:ascii="Arial" w:cs="Arial" w:eastAsia="Arial" w:hAnsi="Arial"/>
          <w:b/>
          <w:bCs/>
          <w:color w:val="000000"/>
          <w:sz w:val="24"/>
          <w:szCs w:val="24"/>
        </w:rPr>
        <w:t xml:space="preserve">THE PROBLEM &amp; WHY NOW</w:t>
      </w:r>
    </w:p>
    <w:p>
      <w:pPr>
        <w:pBdr>
          <w:bottom w:val="single" w:color="000000" w:sz="6" w:space="1"/>
        </w:pBdr>
        <w:spacing w:after="150" w:before="40"/>
      </w:pPr>
      <w:r>
        <w:rPr>
          <w:rFonts w:ascii="Arial" w:cs="Arial" w:eastAsia="Arial" w:hAnsi="Arial"/>
        </w:rPr>
        <w:t xml:space="preserve"/>
      </w:r>
    </w:p>
    <w:p>
      <w:pPr>
        <w:spacing w:after="130"/>
      </w:pPr>
      <w:r>
        <w:rPr>
          <w:rFonts w:ascii="Arial" w:cs="Arial" w:eastAsia="Arial" w:hAnsi="Arial"/>
          <w:i/>
          <w:iCs/>
          <w:color w:val="555555"/>
          <w:sz w:val="20"/>
          <w:szCs w:val="20"/>
        </w:rPr>
        <w:t xml:space="preserve">A regulatory forcing function meets a universal, unaddressed gap.</w:t>
      </w:r>
    </w:p>
    <w:p>
      <w:pPr>
        <w:spacing w:after="100"/>
      </w:pPr>
      <w:r>
        <w:rPr>
          <w:rFonts w:ascii="Arial" w:cs="Arial" w:eastAsia="Arial" w:hAnsi="Arial"/>
          <w:color w:val="000000"/>
          <w:sz w:val="19"/>
          <w:szCs w:val="19"/>
        </w:rPr>
        <w:t xml:space="preserve">Across verticals, companies hold security certifications (SOC 2) but publish almost no AI-specific governance artifacts — model cards, bias testing, AI risk assessments. That is the universal gap. Meanwhile the EU AI Act's high-risk phase-in (August 2, 2026) is a hard, time-boxed deadline that forces action, and MiCA, the GENIUS Act, and DPDP raise the bar in parallel.</w:t>
      </w:r>
    </w:p>
    <w:p>
      <w:pPr>
        <w:pStyle w:val="ListParagraph"/>
        <w:numPr>
          <w:ilvl w:val="0"/>
          <w:numId w:val="2"/>
        </w:numPr>
        <w:spacing w:after="30"/>
      </w:pPr>
      <w:r>
        <w:rPr>
          <w:rFonts w:ascii="Arial" w:cs="Arial" w:eastAsia="Arial" w:hAnsi="Arial"/>
          <w:b/>
          <w:bCs/>
          <w:color w:val="000000"/>
          <w:sz w:val="19"/>
          <w:szCs w:val="19"/>
        </w:rPr>
        <w:t xml:space="preserve">Timing — </w:t>
      </w:r>
      <w:r>
        <w:rPr>
          <w:rFonts w:ascii="Arial" w:cs="Arial" w:eastAsia="Arial" w:hAnsi="Arial"/>
          <w:color w:val="000000"/>
          <w:sz w:val="19"/>
          <w:szCs w:val="19"/>
        </w:rPr>
        <w:t xml:space="preserve">Enforcement is accelerating worldwide, not slowing.</w:t>
      </w:r>
    </w:p>
    <w:p>
      <w:pPr>
        <w:pStyle w:val="ListParagraph"/>
        <w:numPr>
          <w:ilvl w:val="0"/>
          <w:numId w:val="2"/>
        </w:numPr>
        <w:spacing w:after="30"/>
      </w:pPr>
      <w:r>
        <w:rPr>
          <w:rFonts w:ascii="Arial" w:cs="Arial" w:eastAsia="Arial" w:hAnsi="Arial"/>
          <w:b/>
          <w:bCs/>
          <w:color w:val="000000"/>
          <w:sz w:val="19"/>
          <w:szCs w:val="19"/>
        </w:rPr>
        <w:t xml:space="preserve">New risk — </w:t>
      </w:r>
      <w:r>
        <w:rPr>
          <w:rFonts w:ascii="Arial" w:cs="Arial" w:eastAsia="Arial" w:hAnsi="Arial"/>
          <w:color w:val="000000"/>
          <w:sz w:val="19"/>
          <w:szCs w:val="19"/>
        </w:rPr>
        <w:t xml:space="preserve">AI adds new failure surfaces — insecure generated code, opaque data processing.</w:t>
      </w:r>
    </w:p>
    <w:p>
      <w:pPr>
        <w:pStyle w:val="ListParagraph"/>
        <w:numPr>
          <w:ilvl w:val="0"/>
          <w:numId w:val="2"/>
        </w:numPr>
        <w:spacing w:after="30"/>
      </w:pPr>
      <w:r>
        <w:rPr>
          <w:rFonts w:ascii="Arial" w:cs="Arial" w:eastAsia="Arial" w:hAnsi="Arial"/>
          <w:b/>
          <w:bCs/>
          <w:color w:val="000000"/>
          <w:sz w:val="19"/>
          <w:szCs w:val="19"/>
        </w:rPr>
        <w:t xml:space="preserve">Demand — </w:t>
      </w:r>
      <w:r>
        <w:rPr>
          <w:rFonts w:ascii="Arial" w:cs="Arial" w:eastAsia="Arial" w:hAnsi="Arial"/>
          <w:color w:val="000000"/>
          <w:sz w:val="19"/>
          <w:szCs w:val="19"/>
        </w:rPr>
        <w:t xml:space="preserve">Buyers, insurers, and regulators increasingly demand proof of trust up front.</w:t>
      </w:r>
    </w:p>
    <w:p>
      <w:pPr>
        <w:pageBreakBefore/>
      </w:pPr>
    </w:p>
    <w:p>
      <w:pPr>
        <w:pStyle w:val="Heading1"/>
        <w:spacing w:after="40" w:before="300"/>
      </w:pPr>
      <w:r>
        <w:rPr>
          <w:rFonts w:ascii="Arial" w:cs="Arial" w:eastAsia="Arial" w:hAnsi="Arial"/>
          <w:b/>
          <w:bCs/>
          <w:color w:val="000000"/>
          <w:sz w:val="24"/>
          <w:szCs w:val="24"/>
        </w:rPr>
        <w:t xml:space="preserve">04  </w:t>
      </w:r>
      <w:r>
        <w:rPr>
          <w:rFonts w:ascii="Arial" w:cs="Arial" w:eastAsia="Arial" w:hAnsi="Arial"/>
          <w:b/>
          <w:bCs/>
          <w:color w:val="000000"/>
          <w:sz w:val="24"/>
          <w:szCs w:val="24"/>
        </w:rPr>
        <w:t xml:space="preserve">THE PRODUCT</w:t>
      </w:r>
    </w:p>
    <w:p>
      <w:pPr>
        <w:pBdr>
          <w:bottom w:val="single" w:color="000000" w:sz="6" w:space="1"/>
        </w:pBdr>
        <w:spacing w:after="150" w:before="40"/>
      </w:pPr>
      <w:r>
        <w:rPr>
          <w:rFonts w:ascii="Arial" w:cs="Arial" w:eastAsia="Arial" w:hAnsi="Arial"/>
        </w:rPr>
        <w:t xml:space="preserve"/>
      </w:r>
    </w:p>
    <w:p>
      <w:pPr>
        <w:spacing w:after="130"/>
      </w:pPr>
      <w:r>
        <w:rPr>
          <w:rFonts w:ascii="Arial" w:cs="Arial" w:eastAsia="Arial" w:hAnsi="Arial"/>
          <w:i/>
          <w:iCs/>
          <w:color w:val="555555"/>
          <w:sz w:val="20"/>
          <w:szCs w:val="20"/>
        </w:rPr>
        <w:t xml:space="preserve">One platform to know, prove, and maintain AI trust.</w:t>
      </w:r>
    </w:p>
    <w:p>
      <w:pPr>
        <w:spacing w:after="100"/>
      </w:pPr>
      <w:r>
        <w:rPr>
          <w:rFonts w:ascii="Arial" w:cs="Arial" w:eastAsia="Arial" w:hAnsi="Arial"/>
          <w:color w:val="000000"/>
          <w:sz w:val="19"/>
          <w:szCs w:val="19"/>
        </w:rPr>
        <w:t xml:space="preserve">CompliVibe unifies the full AI-trust lifecycle: discover the AI in use, assess it against applicable frameworks, generate the evidence, and keep it current as regulations change. The platform spans AI inventory, risk management, security, observability, evidence vaulting, and trust reporting.</w:t>
      </w:r>
    </w:p>
    <w:p>
      <w:pPr>
        <w:spacing w:after="50" w:before="150"/>
      </w:pPr>
      <w:r>
        <w:rPr>
          <w:rFonts w:ascii="Arial" w:cs="Arial" w:eastAsia="Arial" w:hAnsi="Arial"/>
          <w:b/>
          <w:bCs/>
          <w:color w:val="000000"/>
          <w:sz w:val="20"/>
          <w:szCs w:val="20"/>
        </w:rPr>
        <w:t xml:space="preserve">Coverage &amp; capability</w:t>
      </w:r>
    </w:p>
    <w:p>
      <w:pPr>
        <w:pStyle w:val="ListParagraph"/>
        <w:numPr>
          <w:ilvl w:val="0"/>
          <w:numId w:val="2"/>
        </w:numPr>
        <w:spacing w:after="30"/>
      </w:pPr>
      <w:r>
        <w:rPr>
          <w:rFonts w:ascii="Arial" w:cs="Arial" w:eastAsia="Arial" w:hAnsi="Arial"/>
          <w:b/>
          <w:bCs/>
          <w:color w:val="000000"/>
          <w:sz w:val="19"/>
          <w:szCs w:val="19"/>
        </w:rPr>
        <w:t xml:space="preserve">Frameworks (6) — </w:t>
      </w:r>
      <w:r>
        <w:rPr>
          <w:rFonts w:ascii="Arial" w:cs="Arial" w:eastAsia="Arial" w:hAnsi="Arial"/>
          <w:color w:val="000000"/>
          <w:sz w:val="19"/>
          <w:szCs w:val="19"/>
        </w:rPr>
        <w:t xml:space="preserve">EU AI Act, DPDP, ISO 42001, NIST AI RMF, SOC 2, and Colorado AI Act.</w:t>
      </w:r>
    </w:p>
    <w:p>
      <w:pPr>
        <w:pStyle w:val="ListParagraph"/>
        <w:numPr>
          <w:ilvl w:val="0"/>
          <w:numId w:val="2"/>
        </w:numPr>
        <w:spacing w:after="30"/>
      </w:pPr>
      <w:r>
        <w:rPr>
          <w:rFonts w:ascii="Arial" w:cs="Arial" w:eastAsia="Arial" w:hAnsi="Arial"/>
          <w:b/>
          <w:bCs/>
          <w:color w:val="000000"/>
          <w:sz w:val="19"/>
          <w:szCs w:val="19"/>
        </w:rPr>
        <w:t xml:space="preserve">Depth — </w:t>
      </w:r>
      <w:r>
        <w:rPr>
          <w:rFonts w:ascii="Arial" w:cs="Arial" w:eastAsia="Arial" w:hAnsi="Arial"/>
          <w:color w:val="000000"/>
          <w:sz w:val="19"/>
          <w:szCs w:val="19"/>
        </w:rPr>
        <w:t xml:space="preserve">828 mapped obligations, including 651 EU AI Act obligations, with a 48-hour update velocity when rules change.</w:t>
      </w:r>
    </w:p>
    <w:p>
      <w:pPr>
        <w:pStyle w:val="ListParagraph"/>
        <w:numPr>
          <w:ilvl w:val="0"/>
          <w:numId w:val="2"/>
        </w:numPr>
        <w:spacing w:after="30"/>
      </w:pPr>
      <w:r>
        <w:rPr>
          <w:rFonts w:ascii="Arial" w:cs="Arial" w:eastAsia="Arial" w:hAnsi="Arial"/>
          <w:b/>
          <w:bCs/>
          <w:color w:val="000000"/>
          <w:sz w:val="19"/>
          <w:szCs w:val="19"/>
        </w:rPr>
        <w:t xml:space="preserve">Shadow AI Discovery Engine — </w:t>
      </w:r>
      <w:r>
        <w:rPr>
          <w:rFonts w:ascii="Arial" w:cs="Arial" w:eastAsia="Arial" w:hAnsi="Arial"/>
          <w:color w:val="000000"/>
          <w:sz w:val="19"/>
          <w:szCs w:val="19"/>
        </w:rPr>
        <w:t xml:space="preserve">a patented capability that surfaces unmanaged AI in an organisation.</w:t>
      </w:r>
    </w:p>
    <w:p>
      <w:pPr>
        <w:pStyle w:val="ListParagraph"/>
        <w:numPr>
          <w:ilvl w:val="0"/>
          <w:numId w:val="2"/>
        </w:numPr>
        <w:spacing w:after="30"/>
      </w:pPr>
      <w:r>
        <w:rPr>
          <w:rFonts w:ascii="Arial" w:cs="Arial" w:eastAsia="Arial" w:hAnsi="Arial"/>
          <w:b/>
          <w:bCs/>
          <w:color w:val="000000"/>
          <w:sz w:val="19"/>
          <w:szCs w:val="19"/>
        </w:rPr>
        <w:t xml:space="preserve">Integrations — </w:t>
      </w:r>
      <w:r>
        <w:rPr>
          <w:rFonts w:ascii="Arial" w:cs="Arial" w:eastAsia="Arial" w:hAnsi="Arial"/>
          <w:color w:val="000000"/>
          <w:sz w:val="19"/>
          <w:szCs w:val="19"/>
        </w:rPr>
        <w:t xml:space="preserve">23+ integrations to pull evidence and signals from a customer's stack.</w:t>
      </w:r>
    </w:p>
    <w:p>
      <w:pPr>
        <w:spacing w:after="100" w:before="50"/>
      </w:pPr>
      <w:r>
        <w:rPr>
          <w:rFonts w:ascii="Arial" w:cs="Arial" w:eastAsia="Arial" w:hAnsi="Arial"/>
          <w:i/>
          <w:iCs/>
          <w:color w:val="999999"/>
          <w:sz w:val="16"/>
          <w:szCs w:val="16"/>
        </w:rPr>
        <w:t xml:space="preserve">Feature-level specifics (Trust Score engine internals, evidence vault outputs, update-pipeline triggers) can be expanded in a dedicated product appendix.</w:t>
      </w:r>
    </w:p>
    <w:p>
      <w:pPr>
        <w:pStyle w:val="Heading1"/>
        <w:spacing w:after="40" w:before="300"/>
      </w:pPr>
      <w:r>
        <w:rPr>
          <w:rFonts w:ascii="Arial" w:cs="Arial" w:eastAsia="Arial" w:hAnsi="Arial"/>
          <w:b/>
          <w:bCs/>
          <w:color w:val="000000"/>
          <w:sz w:val="24"/>
          <w:szCs w:val="24"/>
        </w:rPr>
        <w:t xml:space="preserve">05  </w:t>
      </w:r>
      <w:r>
        <w:rPr>
          <w:rFonts w:ascii="Arial" w:cs="Arial" w:eastAsia="Arial" w:hAnsi="Arial"/>
          <w:b/>
          <w:bCs/>
          <w:color w:val="000000"/>
          <w:sz w:val="24"/>
          <w:szCs w:val="24"/>
        </w:rPr>
        <w:t xml:space="preserve">THE TRUST SCORE &amp; BENCHMARK</w:t>
      </w:r>
    </w:p>
    <w:p>
      <w:pPr>
        <w:pBdr>
          <w:bottom w:val="single" w:color="000000" w:sz="6" w:space="1"/>
        </w:pBdr>
        <w:spacing w:after="150" w:before="40"/>
      </w:pPr>
      <w:r>
        <w:rPr>
          <w:rFonts w:ascii="Arial" w:cs="Arial" w:eastAsia="Arial" w:hAnsi="Arial"/>
        </w:rPr>
        <w:t xml:space="preserve"/>
      </w:r>
    </w:p>
    <w:p>
      <w:pPr>
        <w:spacing w:after="130"/>
      </w:pPr>
      <w:r>
        <w:rPr>
          <w:rFonts w:ascii="Arial" w:cs="Arial" w:eastAsia="Arial" w:hAnsi="Arial"/>
          <w:i/>
          <w:iCs/>
          <w:color w:val="555555"/>
          <w:sz w:val="20"/>
          <w:szCs w:val="20"/>
        </w:rPr>
        <w:t xml:space="preserve">An objective, reproducible measure of how audit-ready an organisation's AI is.</w:t>
      </w:r>
    </w:p>
    <w:p>
      <w:pPr>
        <w:spacing w:after="100"/>
      </w:pPr>
      <w:r>
        <w:rPr>
          <w:rFonts w:ascii="Arial" w:cs="Arial" w:eastAsia="Arial" w:hAnsi="Arial"/>
          <w:color w:val="000000"/>
          <w:sz w:val="19"/>
          <w:szCs w:val="19"/>
        </w:rPr>
        <w:t xml:space="preserve">The Trust Score maps a company's AI systems against all applicable obligations, marks each satisfied / partial / missing, and computes a risk-adjusted, weighted ratio into a 0–100 score, broken down by framework with a gap list ranked by deal-risk.</w:t>
      </w:r>
    </w:p>
    <w:p>
      <w:pPr>
        <w:pStyle w:val="ListParagraph"/>
        <w:numPr>
          <w:ilvl w:val="0"/>
          <w:numId w:val="2"/>
        </w:numPr>
        <w:spacing w:after="30"/>
      </w:pPr>
      <w:r>
        <w:rPr>
          <w:rFonts w:ascii="Arial" w:cs="Arial" w:eastAsia="Arial" w:hAnsi="Arial"/>
          <w:b/>
          <w:bCs/>
          <w:color w:val="000000"/>
          <w:sz w:val="19"/>
          <w:szCs w:val="19"/>
        </w:rPr>
        <w:t xml:space="preserve">Benchmarked against — </w:t>
      </w:r>
      <w:r>
        <w:rPr>
          <w:rFonts w:ascii="Arial" w:cs="Arial" w:eastAsia="Arial" w:hAnsi="Arial"/>
          <w:color w:val="000000"/>
          <w:sz w:val="19"/>
          <w:szCs w:val="19"/>
        </w:rPr>
        <w:t xml:space="preserve">regulatory ground truth (defensible today).</w:t>
      </w:r>
    </w:p>
    <w:p>
      <w:pPr>
        <w:pStyle w:val="ListParagraph"/>
        <w:numPr>
          <w:ilvl w:val="0"/>
          <w:numId w:val="2"/>
        </w:numPr>
        <w:spacing w:after="30"/>
      </w:pPr>
      <w:r>
        <w:rPr>
          <w:rFonts w:ascii="Arial" w:cs="Arial" w:eastAsia="Arial" w:hAnsi="Arial"/>
          <w:b/>
          <w:bCs/>
          <w:color w:val="000000"/>
          <w:sz w:val="19"/>
          <w:szCs w:val="19"/>
        </w:rPr>
        <w:t xml:space="preserve">And against — </w:t>
      </w:r>
      <w:r>
        <w:rPr>
          <w:rFonts w:ascii="Arial" w:cs="Arial" w:eastAsia="Arial" w:hAnsi="Arial"/>
          <w:color w:val="000000"/>
          <w:sz w:val="19"/>
          <w:szCs w:val="19"/>
        </w:rPr>
        <w:t xml:space="preserve">audit-readiness for a specific deadline (the sales trigger).</w:t>
      </w:r>
    </w:p>
    <w:p>
      <w:pPr>
        <w:pStyle w:val="ListParagraph"/>
        <w:numPr>
          <w:ilvl w:val="0"/>
          <w:numId w:val="2"/>
        </w:numPr>
        <w:spacing w:after="30"/>
      </w:pPr>
      <w:r>
        <w:rPr>
          <w:rFonts w:ascii="Arial" w:cs="Arial" w:eastAsia="Arial" w:hAnsi="Arial"/>
          <w:b/>
          <w:bCs/>
          <w:color w:val="000000"/>
          <w:sz w:val="19"/>
          <w:szCs w:val="19"/>
        </w:rPr>
        <w:t xml:space="preserve">And eventually — </w:t>
      </w:r>
      <w:r>
        <w:rPr>
          <w:rFonts w:ascii="Arial" w:cs="Arial" w:eastAsia="Arial" w:hAnsi="Arial"/>
          <w:color w:val="000000"/>
          <w:sz w:val="19"/>
          <w:szCs w:val="19"/>
        </w:rPr>
        <w:t xml:space="preserve">peer comparison as the anonymised dataset compounds (the moat).</w:t>
      </w:r>
    </w:p>
    <w:p>
      <w:pPr>
        <w:pageBreakBefore/>
      </w:pPr>
    </w:p>
    <w:p>
      <w:pPr>
        <w:pStyle w:val="Heading1"/>
        <w:spacing w:after="40" w:before="300"/>
      </w:pPr>
      <w:r>
        <w:rPr>
          <w:rFonts w:ascii="Arial" w:cs="Arial" w:eastAsia="Arial" w:hAnsi="Arial"/>
          <w:b/>
          <w:bCs/>
          <w:color w:val="000000"/>
          <w:sz w:val="24"/>
          <w:szCs w:val="24"/>
        </w:rPr>
        <w:t xml:space="preserve">06  </w:t>
      </w:r>
      <w:r>
        <w:rPr>
          <w:rFonts w:ascii="Arial" w:cs="Arial" w:eastAsia="Arial" w:hAnsi="Arial"/>
          <w:b/>
          <w:bCs/>
          <w:color w:val="000000"/>
          <w:sz w:val="24"/>
          <w:szCs w:val="24"/>
        </w:rPr>
        <w:t xml:space="preserve">TRACTION</w:t>
      </w:r>
    </w:p>
    <w:p>
      <w:pPr>
        <w:pBdr>
          <w:bottom w:val="single" w:color="000000" w:sz="6" w:space="1"/>
        </w:pBdr>
        <w:spacing w:after="150" w:before="40"/>
      </w:pPr>
      <w:r>
        <w:rPr>
          <w:rFonts w:ascii="Arial" w:cs="Arial" w:eastAsia="Arial" w:hAnsi="Arial"/>
        </w:rPr>
        <w:t xml:space="preserve"/>
      </w:r>
    </w:p>
    <w:p>
      <w:pPr>
        <w:spacing w:after="130"/>
      </w:pPr>
      <w:r>
        <w:rPr>
          <w:rFonts w:ascii="Arial" w:cs="Arial" w:eastAsia="Arial" w:hAnsi="Arial"/>
          <w:i/>
          <w:iCs/>
          <w:color w:val="555555"/>
          <w:sz w:val="20"/>
          <w:szCs w:val="20"/>
        </w:rPr>
        <w:t xml:space="preserve">Live, paying, and protected — built product-first, then raised.</w:t>
      </w:r>
    </w:p>
    <w:tbl>
      <w:tblPr>
        <w:tblW w:type="pct" w:w="100%"/>
        <w:tblBorders>
          <w:top w:val="single" w:color="999999" w:sz="2"/>
          <w:left w:val="none"/>
          <w:bottom w:val="single" w:color="999999" w:sz="2"/>
          <w:right w:val="none"/>
          <w:insideH w:val="single" w:color="D8DEE7" w:sz="1"/>
          <w:insideV w:val="none"/>
        </w:tblBorders>
      </w:tblPr>
      <w:tblGrid>
        <w:gridCol w:w="4200"/>
        <w:gridCol w:w="5600"/>
      </w:tblGrid>
      <w:tr>
        <w:tc>
          <w:tcPr>
            <w:shd w:fill="000000" w:val="clear"/>
            <w:tcMar>
              <w:top w:type="dxa" w:w="60"/>
              <w:left w:type="dxa" w:w="100"/>
              <w:bottom w:type="dxa" w:w="60"/>
              <w:right w:type="dxa" w:w="100"/>
            </w:tcMar>
          </w:tcPr>
          <w:p>
            <w:pPr>
              <w:jc w:val="left"/>
            </w:pPr>
            <w:r>
              <w:rPr>
                <w:rFonts w:ascii="Arial" w:cs="Arial" w:eastAsia="Arial" w:hAnsi="Arial"/>
                <w:b/>
                <w:bCs/>
                <w:color w:val="FFFFFF"/>
                <w:sz w:val="15"/>
                <w:szCs w:val="15"/>
              </w:rPr>
              <w:t xml:space="preserve">Signal</w:t>
            </w:r>
          </w:p>
        </w:tc>
        <w:tc>
          <w:tcPr>
            <w:shd w:fill="000000" w:val="clear"/>
            <w:tcMar>
              <w:top w:type="dxa" w:w="60"/>
              <w:left w:type="dxa" w:w="100"/>
              <w:bottom w:type="dxa" w:w="60"/>
              <w:right w:type="dxa" w:w="100"/>
            </w:tcMar>
          </w:tcPr>
          <w:p>
            <w:pPr>
              <w:jc w:val="center"/>
            </w:pPr>
            <w:r>
              <w:rPr>
                <w:rFonts w:ascii="Arial" w:cs="Arial" w:eastAsia="Arial" w:hAnsi="Arial"/>
                <w:b/>
                <w:bCs/>
                <w:color w:val="FFFFFF"/>
                <w:sz w:val="15"/>
                <w:szCs w:val="15"/>
              </w:rPr>
              <w:t xml:space="preserve">Status</w:t>
            </w:r>
          </w:p>
        </w:tc>
      </w:tr>
      <w:tr>
        <w:tc>
          <w:tcPr>
            <w:tcMar>
              <w:top w:type="dxa" w:w="60"/>
              <w:left w:type="dxa" w:w="100"/>
              <w:bottom w:type="dxa" w:w="60"/>
              <w:right w:type="dxa" w:w="100"/>
            </w:tcMar>
          </w:tcPr>
          <w:p>
            <w:pPr>
              <w:jc w:val="left"/>
            </w:pPr>
            <w:r>
              <w:rPr>
                <w:rFonts w:ascii="Arial" w:cs="Arial" w:eastAsia="Arial" w:hAnsi="Arial"/>
                <w:b/>
                <w:bCs/>
                <w:color w:val="000000"/>
                <w:sz w:val="15"/>
                <w:szCs w:val="15"/>
              </w:rPr>
              <w:t xml:space="preserve">Product</w:t>
            </w:r>
          </w:p>
        </w:tc>
        <w:tc>
          <w:tcPr>
            <w:tcMar>
              <w:top w:type="dxa" w:w="60"/>
              <w:left w:type="dxa" w:w="100"/>
              <w:bottom w:type="dxa" w:w="60"/>
              <w:right w:type="dxa" w:w="100"/>
            </w:tcMar>
          </w:tcPr>
          <w:p>
            <w:pPr>
              <w:jc w:val="center"/>
            </w:pPr>
            <w:r>
              <w:rPr>
                <w:rFonts w:ascii="Arial" w:cs="Arial" w:eastAsia="Arial" w:hAnsi="Arial"/>
                <w:b w:val="false"/>
                <w:bCs w:val="false"/>
                <w:color w:val="555555"/>
                <w:sz w:val="15"/>
                <w:szCs w:val="15"/>
              </w:rPr>
              <w:t xml:space="preserve">MVP live, enterprise-grade</w:t>
            </w:r>
          </w:p>
        </w:tc>
      </w:tr>
      <w:tr>
        <w:tc>
          <w:tcPr>
            <w:shd w:fill="F5F7FA" w:val="clear"/>
            <w:tcMar>
              <w:top w:type="dxa" w:w="60"/>
              <w:left w:type="dxa" w:w="100"/>
              <w:bottom w:type="dxa" w:w="60"/>
              <w:right w:type="dxa" w:w="100"/>
            </w:tcMar>
          </w:tcPr>
          <w:p>
            <w:pPr>
              <w:jc w:val="left"/>
            </w:pPr>
            <w:r>
              <w:rPr>
                <w:rFonts w:ascii="Arial" w:cs="Arial" w:eastAsia="Arial" w:hAnsi="Arial"/>
                <w:b/>
                <w:bCs/>
                <w:color w:val="000000"/>
                <w:sz w:val="15"/>
                <w:szCs w:val="15"/>
              </w:rPr>
              <w:t xml:space="preserve">Paying customers</w:t>
            </w:r>
          </w:p>
        </w:tc>
        <w:tc>
          <w:tcPr>
            <w:shd w:fill="F5F7FA" w:val="clear"/>
            <w:tcMar>
              <w:top w:type="dxa" w:w="60"/>
              <w:left w:type="dxa" w:w="100"/>
              <w:bottom w:type="dxa" w:w="60"/>
              <w:right w:type="dxa" w:w="100"/>
            </w:tcMar>
          </w:tcPr>
          <w:p>
            <w:pPr>
              <w:jc w:val="center"/>
            </w:pPr>
            <w:r>
              <w:rPr>
                <w:rFonts w:ascii="Arial" w:cs="Arial" w:eastAsia="Arial" w:hAnsi="Arial"/>
                <w:b w:val="false"/>
                <w:bCs w:val="false"/>
                <w:color w:val="555555"/>
                <w:sz w:val="15"/>
                <w:szCs w:val="15"/>
              </w:rPr>
              <w:t xml:space="preserve">3 (acquired within days of launch)</w:t>
            </w:r>
          </w:p>
        </w:tc>
      </w:tr>
      <w:tr>
        <w:tc>
          <w:tcPr>
            <w:tcMar>
              <w:top w:type="dxa" w:w="60"/>
              <w:left w:type="dxa" w:w="100"/>
              <w:bottom w:type="dxa" w:w="60"/>
              <w:right w:type="dxa" w:w="100"/>
            </w:tcMar>
          </w:tcPr>
          <w:p>
            <w:pPr>
              <w:jc w:val="left"/>
            </w:pPr>
            <w:r>
              <w:rPr>
                <w:rFonts w:ascii="Arial" w:cs="Arial" w:eastAsia="Arial" w:hAnsi="Arial"/>
                <w:b/>
                <w:bCs/>
                <w:color w:val="000000"/>
                <w:sz w:val="15"/>
                <w:szCs w:val="15"/>
              </w:rPr>
              <w:t xml:space="preserve">Pipeline</w:t>
            </w:r>
          </w:p>
        </w:tc>
        <w:tc>
          <w:tcPr>
            <w:tcMar>
              <w:top w:type="dxa" w:w="60"/>
              <w:left w:type="dxa" w:w="100"/>
              <w:bottom w:type="dxa" w:w="60"/>
              <w:right w:type="dxa" w:w="100"/>
            </w:tcMar>
          </w:tcPr>
          <w:p>
            <w:pPr>
              <w:jc w:val="center"/>
            </w:pPr>
            <w:r>
              <w:rPr>
                <w:rFonts w:ascii="Arial" w:cs="Arial" w:eastAsia="Arial" w:hAnsi="Arial"/>
                <w:b w:val="false"/>
                <w:bCs w:val="false"/>
                <w:color w:val="555555"/>
                <w:sz w:val="15"/>
                <w:szCs w:val="15"/>
              </w:rPr>
              <w:t xml:space="preserve">13-account waitlist, 5 beta trials</w:t>
            </w:r>
          </w:p>
        </w:tc>
      </w:tr>
      <w:tr>
        <w:tc>
          <w:tcPr>
            <w:shd w:fill="F5F7FA" w:val="clear"/>
            <w:tcMar>
              <w:top w:type="dxa" w:w="60"/>
              <w:left w:type="dxa" w:w="100"/>
              <w:bottom w:type="dxa" w:w="60"/>
              <w:right w:type="dxa" w:w="100"/>
            </w:tcMar>
          </w:tcPr>
          <w:p>
            <w:pPr>
              <w:jc w:val="left"/>
            </w:pPr>
            <w:r>
              <w:rPr>
                <w:rFonts w:ascii="Arial" w:cs="Arial" w:eastAsia="Arial" w:hAnsi="Arial"/>
                <w:b/>
                <w:bCs/>
                <w:color w:val="000000"/>
                <w:sz w:val="15"/>
                <w:szCs w:val="15"/>
              </w:rPr>
              <w:t xml:space="preserve">Coverage</w:t>
            </w:r>
          </w:p>
        </w:tc>
        <w:tc>
          <w:tcPr>
            <w:shd w:fill="F5F7FA" w:val="clear"/>
            <w:tcMar>
              <w:top w:type="dxa" w:w="60"/>
              <w:left w:type="dxa" w:w="100"/>
              <w:bottom w:type="dxa" w:w="60"/>
              <w:right w:type="dxa" w:w="100"/>
            </w:tcMar>
          </w:tcPr>
          <w:p>
            <w:pPr>
              <w:jc w:val="center"/>
            </w:pPr>
            <w:r>
              <w:rPr>
                <w:rFonts w:ascii="Arial" w:cs="Arial" w:eastAsia="Arial" w:hAnsi="Arial"/>
                <w:b w:val="false"/>
                <w:bCs w:val="false"/>
                <w:color w:val="555555"/>
                <w:sz w:val="15"/>
                <w:szCs w:val="15"/>
              </w:rPr>
              <w:t xml:space="preserve">828 mapped obligations across 6 frameworks</w:t>
            </w:r>
          </w:p>
        </w:tc>
      </w:tr>
      <w:tr>
        <w:tc>
          <w:tcPr>
            <w:tcMar>
              <w:top w:type="dxa" w:w="60"/>
              <w:left w:type="dxa" w:w="100"/>
              <w:bottom w:type="dxa" w:w="60"/>
              <w:right w:type="dxa" w:w="100"/>
            </w:tcMar>
          </w:tcPr>
          <w:p>
            <w:pPr>
              <w:jc w:val="left"/>
            </w:pPr>
            <w:r>
              <w:rPr>
                <w:rFonts w:ascii="Arial" w:cs="Arial" w:eastAsia="Arial" w:hAnsi="Arial"/>
                <w:b/>
                <w:bCs/>
                <w:color w:val="000000"/>
                <w:sz w:val="15"/>
                <w:szCs w:val="15"/>
              </w:rPr>
              <w:t xml:space="preserve">Integrations</w:t>
            </w:r>
          </w:p>
        </w:tc>
        <w:tc>
          <w:tcPr>
            <w:tcMar>
              <w:top w:type="dxa" w:w="60"/>
              <w:left w:type="dxa" w:w="100"/>
              <w:bottom w:type="dxa" w:w="60"/>
              <w:right w:type="dxa" w:w="100"/>
            </w:tcMar>
          </w:tcPr>
          <w:p>
            <w:pPr>
              <w:jc w:val="center"/>
            </w:pPr>
            <w:r>
              <w:rPr>
                <w:rFonts w:ascii="Arial" w:cs="Arial" w:eastAsia="Arial" w:hAnsi="Arial"/>
                <w:b w:val="false"/>
                <w:bCs w:val="false"/>
                <w:color w:val="555555"/>
                <w:sz w:val="15"/>
                <w:szCs w:val="15"/>
              </w:rPr>
              <w:t xml:space="preserve">23+</w:t>
            </w:r>
          </w:p>
        </w:tc>
      </w:tr>
      <w:tr>
        <w:tc>
          <w:tcPr>
            <w:shd w:fill="F5F7FA" w:val="clear"/>
            <w:tcMar>
              <w:top w:type="dxa" w:w="60"/>
              <w:left w:type="dxa" w:w="100"/>
              <w:bottom w:type="dxa" w:w="60"/>
              <w:right w:type="dxa" w:w="100"/>
            </w:tcMar>
          </w:tcPr>
          <w:p>
            <w:pPr>
              <w:jc w:val="left"/>
            </w:pPr>
            <w:r>
              <w:rPr>
                <w:rFonts w:ascii="Arial" w:cs="Arial" w:eastAsia="Arial" w:hAnsi="Arial"/>
                <w:b/>
                <w:bCs/>
                <w:color w:val="000000"/>
                <w:sz w:val="15"/>
                <w:szCs w:val="15"/>
              </w:rPr>
              <w:t xml:space="preserve">IP</w:t>
            </w:r>
          </w:p>
        </w:tc>
        <w:tc>
          <w:tcPr>
            <w:shd w:fill="F5F7FA" w:val="clear"/>
            <w:tcMar>
              <w:top w:type="dxa" w:w="60"/>
              <w:left w:type="dxa" w:w="100"/>
              <w:bottom w:type="dxa" w:w="60"/>
              <w:right w:type="dxa" w:w="100"/>
            </w:tcMar>
          </w:tcPr>
          <w:p>
            <w:pPr>
              <w:jc w:val="center"/>
            </w:pPr>
            <w:r>
              <w:rPr>
                <w:rFonts w:ascii="Arial" w:cs="Arial" w:eastAsia="Arial" w:hAnsi="Arial"/>
                <w:b w:val="false"/>
                <w:bCs w:val="false"/>
                <w:color w:val="555555"/>
                <w:sz w:val="15"/>
                <w:szCs w:val="15"/>
              </w:rPr>
              <w:t xml:space="preserve">5 patents filed (incl. Shadow AI Discovery Engine)</w:t>
            </w:r>
          </w:p>
        </w:tc>
      </w:tr>
      <w:tr>
        <w:tc>
          <w:tcPr>
            <w:tcMar>
              <w:top w:type="dxa" w:w="60"/>
              <w:left w:type="dxa" w:w="100"/>
              <w:bottom w:type="dxa" w:w="60"/>
              <w:right w:type="dxa" w:w="100"/>
            </w:tcMar>
          </w:tcPr>
          <w:p>
            <w:pPr>
              <w:jc w:val="left"/>
            </w:pPr>
            <w:r>
              <w:rPr>
                <w:rFonts w:ascii="Arial" w:cs="Arial" w:eastAsia="Arial" w:hAnsi="Arial"/>
                <w:b/>
                <w:bCs/>
                <w:color w:val="000000"/>
                <w:sz w:val="15"/>
                <w:szCs w:val="15"/>
              </w:rPr>
              <w:t xml:space="preserve">Investor readiness</w:t>
            </w:r>
          </w:p>
        </w:tc>
        <w:tc>
          <w:tcPr>
            <w:tcMar>
              <w:top w:type="dxa" w:w="60"/>
              <w:left w:type="dxa" w:w="100"/>
              <w:bottom w:type="dxa" w:w="60"/>
              <w:right w:type="dxa" w:w="100"/>
            </w:tcMar>
          </w:tcPr>
          <w:p>
            <w:pPr>
              <w:jc w:val="center"/>
            </w:pPr>
            <w:r>
              <w:rPr>
                <w:rFonts w:ascii="Arial" w:cs="Arial" w:eastAsia="Arial" w:hAnsi="Arial"/>
                <w:b w:val="false"/>
                <w:bCs w:val="false"/>
                <w:color w:val="555555"/>
                <w:sz w:val="15"/>
                <w:szCs w:val="15"/>
              </w:rPr>
              <w:t xml:space="preserve">Live data room</w:t>
            </w:r>
          </w:p>
        </w:tc>
      </w:tr>
    </w:tbl>
    <w:p>
      <w:pPr>
        <w:spacing w:after="100" w:before="50"/>
      </w:pPr>
      <w:r>
        <w:rPr>
          <w:rFonts w:ascii="Arial" w:cs="Arial" w:eastAsia="Arial" w:hAnsi="Arial"/>
          <w:i/>
          <w:iCs/>
          <w:color w:val="999999"/>
          <w:sz w:val="16"/>
          <w:szCs w:val="16"/>
        </w:rPr>
        <w:t xml:space="preserve">This venture deliberately built product and won paying customers before seeking investment.</w:t>
      </w:r>
    </w:p>
    <w:p>
      <w:pPr>
        <w:pStyle w:val="Heading1"/>
        <w:spacing w:after="40" w:before="300"/>
      </w:pPr>
      <w:r>
        <w:rPr>
          <w:rFonts w:ascii="Arial" w:cs="Arial" w:eastAsia="Arial" w:hAnsi="Arial"/>
          <w:b/>
          <w:bCs/>
          <w:color w:val="000000"/>
          <w:sz w:val="24"/>
          <w:szCs w:val="24"/>
        </w:rPr>
        <w:t xml:space="preserve">07  </w:t>
      </w:r>
      <w:r>
        <w:rPr>
          <w:rFonts w:ascii="Arial" w:cs="Arial" w:eastAsia="Arial" w:hAnsi="Arial"/>
          <w:b/>
          <w:bCs/>
          <w:color w:val="000000"/>
          <w:sz w:val="24"/>
          <w:szCs w:val="24"/>
        </w:rPr>
        <w:t xml:space="preserve">MARKET OPPORTUNITY</w:t>
      </w:r>
    </w:p>
    <w:p>
      <w:pPr>
        <w:pBdr>
          <w:bottom w:val="single" w:color="000000" w:sz="6" w:space="1"/>
        </w:pBdr>
        <w:spacing w:after="150" w:before="40"/>
      </w:pPr>
      <w:r>
        <w:rPr>
          <w:rFonts w:ascii="Arial" w:cs="Arial" w:eastAsia="Arial" w:hAnsi="Arial"/>
        </w:rPr>
        <w:t xml:space="preserve"/>
      </w:r>
    </w:p>
    <w:p>
      <w:pPr>
        <w:spacing w:after="130"/>
      </w:pPr>
      <w:r>
        <w:rPr>
          <w:rFonts w:ascii="Arial" w:cs="Arial" w:eastAsia="Arial" w:hAnsi="Arial"/>
          <w:i/>
          <w:iCs/>
          <w:color w:val="555555"/>
          <w:sz w:val="20"/>
          <w:szCs w:val="20"/>
        </w:rPr>
        <w:t xml:space="preserve">A young, fast-growing category with no established default.</w:t>
      </w:r>
    </w:p>
    <w:p>
      <w:pPr>
        <w:spacing w:after="100"/>
      </w:pPr>
      <w:r>
        <w:rPr>
          <w:rFonts w:ascii="Arial" w:cs="Arial" w:eastAsia="Arial" w:hAnsi="Arial"/>
          <w:color w:val="000000"/>
          <w:sz w:val="19"/>
          <w:szCs w:val="19"/>
        </w:rPr>
        <w:t xml:space="preserve">The AI governance market was sized at roughly $0.89B in 2024, growing at about 45.3% CAGR (MarketsandMarkets). The category is being defined now — incumbents are late to AI, and AI-native players are early. The opportunity is not to win a share of an existing market, but to define and own an emerging one.</w:t>
      </w:r>
    </w:p>
    <w:p>
      <w:pPr>
        <w:pageBreakBefore/>
      </w:pPr>
    </w:p>
    <w:p>
      <w:pPr>
        <w:pStyle w:val="Heading1"/>
        <w:spacing w:after="40" w:before="300"/>
      </w:pPr>
      <w:r>
        <w:rPr>
          <w:rFonts w:ascii="Arial" w:cs="Arial" w:eastAsia="Arial" w:hAnsi="Arial"/>
          <w:b/>
          <w:bCs/>
          <w:color w:val="000000"/>
          <w:sz w:val="24"/>
          <w:szCs w:val="24"/>
        </w:rPr>
        <w:t xml:space="preserve">08  </w:t>
      </w:r>
      <w:r>
        <w:rPr>
          <w:rFonts w:ascii="Arial" w:cs="Arial" w:eastAsia="Arial" w:hAnsi="Arial"/>
          <w:b/>
          <w:bCs/>
          <w:color w:val="000000"/>
          <w:sz w:val="24"/>
          <w:szCs w:val="24"/>
        </w:rPr>
        <w:t xml:space="preserve">BUSINESS MODEL &amp; PRICING</w:t>
      </w:r>
    </w:p>
    <w:p>
      <w:pPr>
        <w:pBdr>
          <w:bottom w:val="single" w:color="000000" w:sz="6" w:space="1"/>
        </w:pBdr>
        <w:spacing w:after="150" w:before="40"/>
      </w:pPr>
      <w:r>
        <w:rPr>
          <w:rFonts w:ascii="Arial" w:cs="Arial" w:eastAsia="Arial" w:hAnsi="Arial"/>
        </w:rPr>
        <w:t xml:space="preserve"/>
      </w:r>
    </w:p>
    <w:p>
      <w:pPr>
        <w:spacing w:after="130"/>
      </w:pPr>
      <w:r>
        <w:rPr>
          <w:rFonts w:ascii="Arial" w:cs="Arial" w:eastAsia="Arial" w:hAnsi="Arial"/>
          <w:i/>
          <w:iCs/>
          <w:color w:val="555555"/>
          <w:sz w:val="20"/>
          <w:szCs w:val="20"/>
        </w:rPr>
        <w:t xml:space="preserve">Recurring SaaS, priced by AI risk, grown through expansion.</w:t>
      </w:r>
    </w:p>
    <w:tbl>
      <w:tblPr>
        <w:tblW w:type="pct" w:w="100%"/>
        <w:tblBorders>
          <w:top w:val="single" w:color="999999" w:sz="2"/>
          <w:left w:val="none"/>
          <w:bottom w:val="single" w:color="999999" w:sz="2"/>
          <w:right w:val="none"/>
          <w:insideH w:val="single" w:color="D8DEE7" w:sz="1"/>
          <w:insideV w:val="none"/>
        </w:tblBorders>
      </w:tblPr>
      <w:tblGrid>
        <w:gridCol w:w="2600"/>
        <w:gridCol w:w="2100"/>
        <w:gridCol w:w="2100"/>
        <w:gridCol w:w="3100"/>
      </w:tblGrid>
      <w:tr>
        <w:tc>
          <w:tcPr>
            <w:shd w:fill="000000" w:val="clear"/>
            <w:tcMar>
              <w:top w:type="dxa" w:w="60"/>
              <w:left w:type="dxa" w:w="100"/>
              <w:bottom w:type="dxa" w:w="60"/>
              <w:right w:type="dxa" w:w="100"/>
            </w:tcMar>
          </w:tcPr>
          <w:p>
            <w:pPr>
              <w:jc w:val="left"/>
            </w:pPr>
            <w:r>
              <w:rPr>
                <w:rFonts w:ascii="Arial" w:cs="Arial" w:eastAsia="Arial" w:hAnsi="Arial"/>
                <w:b/>
                <w:bCs/>
                <w:color w:val="FFFFFF"/>
                <w:sz w:val="15"/>
                <w:szCs w:val="15"/>
              </w:rPr>
              <w:t xml:space="preserve"/>
            </w:r>
          </w:p>
        </w:tc>
        <w:tc>
          <w:tcPr>
            <w:shd w:fill="000000" w:val="clear"/>
            <w:tcMar>
              <w:top w:type="dxa" w:w="60"/>
              <w:left w:type="dxa" w:w="100"/>
              <w:bottom w:type="dxa" w:w="60"/>
              <w:right w:type="dxa" w:w="100"/>
            </w:tcMar>
          </w:tcPr>
          <w:p>
            <w:pPr>
              <w:jc w:val="center"/>
            </w:pPr>
            <w:r>
              <w:rPr>
                <w:rFonts w:ascii="Arial" w:cs="Arial" w:eastAsia="Arial" w:hAnsi="Arial"/>
                <w:b/>
                <w:bCs/>
                <w:color w:val="FFFFFF"/>
                <w:sz w:val="15"/>
                <w:szCs w:val="15"/>
              </w:rPr>
              <w:t xml:space="preserve">Starter</w:t>
            </w:r>
          </w:p>
        </w:tc>
        <w:tc>
          <w:tcPr>
            <w:shd w:fill="000000" w:val="clear"/>
            <w:tcMar>
              <w:top w:type="dxa" w:w="60"/>
              <w:left w:type="dxa" w:w="100"/>
              <w:bottom w:type="dxa" w:w="60"/>
              <w:right w:type="dxa" w:w="100"/>
            </w:tcMar>
          </w:tcPr>
          <w:p>
            <w:pPr>
              <w:jc w:val="center"/>
            </w:pPr>
            <w:r>
              <w:rPr>
                <w:rFonts w:ascii="Arial" w:cs="Arial" w:eastAsia="Arial" w:hAnsi="Arial"/>
                <w:b/>
                <w:bCs/>
                <w:color w:val="FFFFFF"/>
                <w:sz w:val="15"/>
                <w:szCs w:val="15"/>
              </w:rPr>
              <w:t xml:space="preserve">Growth</w:t>
            </w:r>
          </w:p>
        </w:tc>
        <w:tc>
          <w:tcPr>
            <w:shd w:fill="000000" w:val="clear"/>
            <w:tcMar>
              <w:top w:type="dxa" w:w="60"/>
              <w:left w:type="dxa" w:w="100"/>
              <w:bottom w:type="dxa" w:w="60"/>
              <w:right w:type="dxa" w:w="100"/>
            </w:tcMar>
          </w:tcPr>
          <w:p>
            <w:pPr>
              <w:jc w:val="center"/>
            </w:pPr>
            <w:r>
              <w:rPr>
                <w:rFonts w:ascii="Arial" w:cs="Arial" w:eastAsia="Arial" w:hAnsi="Arial"/>
                <w:b/>
                <w:bCs/>
                <w:color w:val="FFFFFF"/>
                <w:sz w:val="15"/>
                <w:szCs w:val="15"/>
              </w:rPr>
              <w:t xml:space="preserve">Enterprise</w:t>
            </w:r>
          </w:p>
        </w:tc>
      </w:tr>
      <w:tr>
        <w:tc>
          <w:tcPr>
            <w:tcMar>
              <w:top w:type="dxa" w:w="60"/>
              <w:left w:type="dxa" w:w="100"/>
              <w:bottom w:type="dxa" w:w="60"/>
              <w:right w:type="dxa" w:w="100"/>
            </w:tcMar>
          </w:tcPr>
          <w:p>
            <w:pPr>
              <w:jc w:val="left"/>
            </w:pPr>
            <w:r>
              <w:rPr>
                <w:rFonts w:ascii="Arial" w:cs="Arial" w:eastAsia="Arial" w:hAnsi="Arial"/>
                <w:b/>
                <w:bCs/>
                <w:color w:val="000000"/>
                <w:sz w:val="15"/>
                <w:szCs w:val="15"/>
              </w:rPr>
              <w:t xml:space="preserve">Price</w:t>
            </w:r>
          </w:p>
        </w:tc>
        <w:tc>
          <w:tcPr>
            <w:tcMar>
              <w:top w:type="dxa" w:w="60"/>
              <w:left w:type="dxa" w:w="100"/>
              <w:bottom w:type="dxa" w:w="60"/>
              <w:right w:type="dxa" w:w="100"/>
            </w:tcMar>
          </w:tcPr>
          <w:p>
            <w:pPr>
              <w:jc w:val="center"/>
            </w:pPr>
            <w:r>
              <w:rPr>
                <w:rFonts w:ascii="Arial" w:cs="Arial" w:eastAsia="Arial" w:hAnsi="Arial"/>
                <w:b w:val="false"/>
                <w:bCs w:val="false"/>
                <w:color w:val="555555"/>
                <w:sz w:val="15"/>
                <w:szCs w:val="15"/>
              </w:rPr>
              <w:t xml:space="preserve">$500 / mo</w:t>
            </w:r>
          </w:p>
        </w:tc>
        <w:tc>
          <w:tcPr>
            <w:tcMar>
              <w:top w:type="dxa" w:w="60"/>
              <w:left w:type="dxa" w:w="100"/>
              <w:bottom w:type="dxa" w:w="60"/>
              <w:right w:type="dxa" w:w="100"/>
            </w:tcMar>
          </w:tcPr>
          <w:p>
            <w:pPr>
              <w:jc w:val="center"/>
            </w:pPr>
            <w:r>
              <w:rPr>
                <w:rFonts w:ascii="Arial" w:cs="Arial" w:eastAsia="Arial" w:hAnsi="Arial"/>
                <w:b w:val="false"/>
                <w:bCs w:val="false"/>
                <w:color w:val="555555"/>
                <w:sz w:val="15"/>
                <w:szCs w:val="15"/>
              </w:rPr>
              <w:t xml:space="preserve">$1,000 / mo</w:t>
            </w:r>
          </w:p>
        </w:tc>
        <w:tc>
          <w:tcPr>
            <w:tcMar>
              <w:top w:type="dxa" w:w="60"/>
              <w:left w:type="dxa" w:w="100"/>
              <w:bottom w:type="dxa" w:w="60"/>
              <w:right w:type="dxa" w:w="100"/>
            </w:tcMar>
          </w:tcPr>
          <w:p>
            <w:pPr>
              <w:jc w:val="center"/>
            </w:pPr>
            <w:r>
              <w:rPr>
                <w:rFonts w:ascii="Arial" w:cs="Arial" w:eastAsia="Arial" w:hAnsi="Arial"/>
                <w:b w:val="false"/>
                <w:bCs w:val="false"/>
                <w:color w:val="555555"/>
                <w:sz w:val="15"/>
                <w:szCs w:val="15"/>
              </w:rPr>
              <w:t xml:space="preserve">From ~$3–5K / mo</w:t>
            </w:r>
          </w:p>
        </w:tc>
      </w:tr>
      <w:tr>
        <w:tc>
          <w:tcPr>
            <w:shd w:fill="F5F7FA" w:val="clear"/>
            <w:tcMar>
              <w:top w:type="dxa" w:w="60"/>
              <w:left w:type="dxa" w:w="100"/>
              <w:bottom w:type="dxa" w:w="60"/>
              <w:right w:type="dxa" w:w="100"/>
            </w:tcMar>
          </w:tcPr>
          <w:p>
            <w:pPr>
              <w:jc w:val="left"/>
            </w:pPr>
            <w:r>
              <w:rPr>
                <w:rFonts w:ascii="Arial" w:cs="Arial" w:eastAsia="Arial" w:hAnsi="Arial"/>
                <w:b/>
                <w:bCs/>
                <w:color w:val="000000"/>
                <w:sz w:val="15"/>
                <w:szCs w:val="15"/>
              </w:rPr>
              <w:t xml:space="preserve">Billed annually</w:t>
            </w:r>
          </w:p>
        </w:tc>
        <w:tc>
          <w:tcPr>
            <w:shd w:fill="F5F7FA" w:val="clear"/>
            <w:tcMar>
              <w:top w:type="dxa" w:w="60"/>
              <w:left w:type="dxa" w:w="100"/>
              <w:bottom w:type="dxa" w:w="60"/>
              <w:right w:type="dxa" w:w="100"/>
            </w:tcMar>
          </w:tcPr>
          <w:p>
            <w:pPr>
              <w:jc w:val="center"/>
            </w:pPr>
            <w:r>
              <w:rPr>
                <w:rFonts w:ascii="Arial" w:cs="Arial" w:eastAsia="Arial" w:hAnsi="Arial"/>
                <w:b w:val="false"/>
                <w:bCs w:val="false"/>
                <w:color w:val="555555"/>
                <w:sz w:val="15"/>
                <w:szCs w:val="15"/>
              </w:rPr>
              <w:t xml:space="preserve">$6,000 / yr</w:t>
            </w:r>
          </w:p>
        </w:tc>
        <w:tc>
          <w:tcPr>
            <w:shd w:fill="F5F7FA" w:val="clear"/>
            <w:tcMar>
              <w:top w:type="dxa" w:w="60"/>
              <w:left w:type="dxa" w:w="100"/>
              <w:bottom w:type="dxa" w:w="60"/>
              <w:right w:type="dxa" w:w="100"/>
            </w:tcMar>
          </w:tcPr>
          <w:p>
            <w:pPr>
              <w:jc w:val="center"/>
            </w:pPr>
            <w:r>
              <w:rPr>
                <w:rFonts w:ascii="Arial" w:cs="Arial" w:eastAsia="Arial" w:hAnsi="Arial"/>
                <w:b w:val="false"/>
                <w:bCs w:val="false"/>
                <w:color w:val="555555"/>
                <w:sz w:val="15"/>
                <w:szCs w:val="15"/>
              </w:rPr>
              <w:t xml:space="preserve">$12,000 / yr</w:t>
            </w:r>
          </w:p>
        </w:tc>
        <w:tc>
          <w:tcPr>
            <w:shd w:fill="F5F7FA" w:val="clear"/>
            <w:tcMar>
              <w:top w:type="dxa" w:w="60"/>
              <w:left w:type="dxa" w:w="100"/>
              <w:bottom w:type="dxa" w:w="60"/>
              <w:right w:type="dxa" w:w="100"/>
            </w:tcMar>
          </w:tcPr>
          <w:p>
            <w:pPr>
              <w:jc w:val="center"/>
            </w:pPr>
            <w:r>
              <w:rPr>
                <w:rFonts w:ascii="Arial" w:cs="Arial" w:eastAsia="Arial" w:hAnsi="Arial"/>
                <w:b w:val="false"/>
                <w:bCs w:val="false"/>
                <w:color w:val="555555"/>
                <w:sz w:val="15"/>
                <w:szCs w:val="15"/>
              </w:rPr>
              <w:t xml:space="preserve">$40K–120K+ / yr</w:t>
            </w:r>
          </w:p>
        </w:tc>
      </w:tr>
      <w:tr>
        <w:tc>
          <w:tcPr>
            <w:tcMar>
              <w:top w:type="dxa" w:w="60"/>
              <w:left w:type="dxa" w:w="100"/>
              <w:bottom w:type="dxa" w:w="60"/>
              <w:right w:type="dxa" w:w="100"/>
            </w:tcMar>
          </w:tcPr>
          <w:p>
            <w:pPr>
              <w:jc w:val="left"/>
            </w:pPr>
            <w:r>
              <w:rPr>
                <w:rFonts w:ascii="Arial" w:cs="Arial" w:eastAsia="Arial" w:hAnsi="Arial"/>
                <w:b/>
                <w:bCs/>
                <w:color w:val="000000"/>
                <w:sz w:val="15"/>
                <w:szCs w:val="15"/>
              </w:rPr>
              <w:t xml:space="preserve">Frameworks</w:t>
            </w:r>
          </w:p>
        </w:tc>
        <w:tc>
          <w:tcPr>
            <w:tcMar>
              <w:top w:type="dxa" w:w="60"/>
              <w:left w:type="dxa" w:w="100"/>
              <w:bottom w:type="dxa" w:w="60"/>
              <w:right w:type="dxa" w:w="100"/>
            </w:tcMar>
          </w:tcPr>
          <w:p>
            <w:pPr>
              <w:jc w:val="center"/>
            </w:pPr>
            <w:r>
              <w:rPr>
                <w:rFonts w:ascii="Arial" w:cs="Arial" w:eastAsia="Arial" w:hAnsi="Arial"/>
                <w:b w:val="false"/>
                <w:bCs w:val="false"/>
                <w:color w:val="555555"/>
                <w:sz w:val="15"/>
                <w:szCs w:val="15"/>
              </w:rPr>
              <w:t xml:space="preserve">1–2</w:t>
            </w:r>
          </w:p>
        </w:tc>
        <w:tc>
          <w:tcPr>
            <w:tcMar>
              <w:top w:type="dxa" w:w="60"/>
              <w:left w:type="dxa" w:w="100"/>
              <w:bottom w:type="dxa" w:w="60"/>
              <w:right w:type="dxa" w:w="100"/>
            </w:tcMar>
          </w:tcPr>
          <w:p>
            <w:pPr>
              <w:jc w:val="center"/>
            </w:pPr>
            <w:r>
              <w:rPr>
                <w:rFonts w:ascii="Arial" w:cs="Arial" w:eastAsia="Arial" w:hAnsi="Arial"/>
                <w:b w:val="false"/>
                <w:bCs w:val="false"/>
                <w:color w:val="555555"/>
                <w:sz w:val="15"/>
                <w:szCs w:val="15"/>
              </w:rPr>
              <w:t xml:space="preserve">All frameworks</w:t>
            </w:r>
          </w:p>
        </w:tc>
        <w:tc>
          <w:tcPr>
            <w:tcMar>
              <w:top w:type="dxa" w:w="60"/>
              <w:left w:type="dxa" w:w="100"/>
              <w:bottom w:type="dxa" w:w="60"/>
              <w:right w:type="dxa" w:w="100"/>
            </w:tcMar>
          </w:tcPr>
          <w:p>
            <w:pPr>
              <w:jc w:val="center"/>
            </w:pPr>
            <w:r>
              <w:rPr>
                <w:rFonts w:ascii="Arial" w:cs="Arial" w:eastAsia="Arial" w:hAnsi="Arial"/>
                <w:b w:val="false"/>
                <w:bCs w:val="false"/>
                <w:color w:val="555555"/>
                <w:sz w:val="15"/>
                <w:szCs w:val="15"/>
              </w:rPr>
              <w:t xml:space="preserve">All + custom</w:t>
            </w:r>
          </w:p>
        </w:tc>
      </w:tr>
      <w:tr>
        <w:tc>
          <w:tcPr>
            <w:shd w:fill="F5F7FA" w:val="clear"/>
            <w:tcMar>
              <w:top w:type="dxa" w:w="60"/>
              <w:left w:type="dxa" w:w="100"/>
              <w:bottom w:type="dxa" w:w="60"/>
              <w:right w:type="dxa" w:w="100"/>
            </w:tcMar>
          </w:tcPr>
          <w:p>
            <w:pPr>
              <w:jc w:val="left"/>
            </w:pPr>
            <w:r>
              <w:rPr>
                <w:rFonts w:ascii="Arial" w:cs="Arial" w:eastAsia="Arial" w:hAnsi="Arial"/>
                <w:b/>
                <w:bCs/>
                <w:color w:val="000000"/>
                <w:sz w:val="15"/>
                <w:szCs w:val="15"/>
              </w:rPr>
              <w:t xml:space="preserve">AI systems</w:t>
            </w:r>
          </w:p>
        </w:tc>
        <w:tc>
          <w:tcPr>
            <w:shd w:fill="F5F7FA" w:val="clear"/>
            <w:tcMar>
              <w:top w:type="dxa" w:w="60"/>
              <w:left w:type="dxa" w:w="100"/>
              <w:bottom w:type="dxa" w:w="60"/>
              <w:right w:type="dxa" w:w="100"/>
            </w:tcMar>
          </w:tcPr>
          <w:p>
            <w:pPr>
              <w:jc w:val="center"/>
            </w:pPr>
            <w:r>
              <w:rPr>
                <w:rFonts w:ascii="Arial" w:cs="Arial" w:eastAsia="Arial" w:hAnsi="Arial"/>
                <w:b w:val="false"/>
                <w:bCs w:val="false"/>
                <w:color w:val="555555"/>
                <w:sz w:val="15"/>
                <w:szCs w:val="15"/>
              </w:rPr>
              <w:t xml:space="preserve">up to ~5</w:t>
            </w:r>
          </w:p>
        </w:tc>
        <w:tc>
          <w:tcPr>
            <w:shd w:fill="F5F7FA" w:val="clear"/>
            <w:tcMar>
              <w:top w:type="dxa" w:w="60"/>
              <w:left w:type="dxa" w:w="100"/>
              <w:bottom w:type="dxa" w:w="60"/>
              <w:right w:type="dxa" w:w="100"/>
            </w:tcMar>
          </w:tcPr>
          <w:p>
            <w:pPr>
              <w:jc w:val="center"/>
            </w:pPr>
            <w:r>
              <w:rPr>
                <w:rFonts w:ascii="Arial" w:cs="Arial" w:eastAsia="Arial" w:hAnsi="Arial"/>
                <w:b w:val="false"/>
                <w:bCs w:val="false"/>
                <w:color w:val="555555"/>
                <w:sz w:val="15"/>
                <w:szCs w:val="15"/>
              </w:rPr>
              <w:t xml:space="preserve">up to ~25</w:t>
            </w:r>
          </w:p>
        </w:tc>
        <w:tc>
          <w:tcPr>
            <w:shd w:fill="F5F7FA" w:val="clear"/>
            <w:tcMar>
              <w:top w:type="dxa" w:w="60"/>
              <w:left w:type="dxa" w:w="100"/>
              <w:bottom w:type="dxa" w:w="60"/>
              <w:right w:type="dxa" w:w="100"/>
            </w:tcMar>
          </w:tcPr>
          <w:p>
            <w:pPr>
              <w:jc w:val="center"/>
            </w:pPr>
            <w:r>
              <w:rPr>
                <w:rFonts w:ascii="Arial" w:cs="Arial" w:eastAsia="Arial" w:hAnsi="Arial"/>
                <w:b w:val="false"/>
                <w:bCs w:val="false"/>
                <w:color w:val="555555"/>
                <w:sz w:val="15"/>
                <w:szCs w:val="15"/>
              </w:rPr>
              <w:t xml:space="preserve">Unlimited</w:t>
            </w:r>
          </w:p>
        </w:tc>
      </w:tr>
      <w:tr>
        <w:tc>
          <w:tcPr>
            <w:tcMar>
              <w:top w:type="dxa" w:w="60"/>
              <w:left w:type="dxa" w:w="100"/>
              <w:bottom w:type="dxa" w:w="60"/>
              <w:right w:type="dxa" w:w="100"/>
            </w:tcMar>
          </w:tcPr>
          <w:p>
            <w:pPr>
              <w:jc w:val="left"/>
            </w:pPr>
            <w:r>
              <w:rPr>
                <w:rFonts w:ascii="Arial" w:cs="Arial" w:eastAsia="Arial" w:hAnsi="Arial"/>
                <w:b/>
                <w:bCs/>
                <w:color w:val="000000"/>
                <w:sz w:val="15"/>
                <w:szCs w:val="15"/>
              </w:rPr>
              <w:t xml:space="preserve">Best for</w:t>
            </w:r>
          </w:p>
        </w:tc>
        <w:tc>
          <w:tcPr>
            <w:tcMar>
              <w:top w:type="dxa" w:w="60"/>
              <w:left w:type="dxa" w:w="100"/>
              <w:bottom w:type="dxa" w:w="60"/>
              <w:right w:type="dxa" w:w="100"/>
            </w:tcMar>
          </w:tcPr>
          <w:p>
            <w:pPr>
              <w:jc w:val="center"/>
            </w:pPr>
            <w:r>
              <w:rPr>
                <w:rFonts w:ascii="Arial" w:cs="Arial" w:eastAsia="Arial" w:hAnsi="Arial"/>
                <w:b w:val="false"/>
                <w:bCs w:val="false"/>
                <w:color w:val="555555"/>
                <w:sz w:val="15"/>
                <w:szCs w:val="15"/>
              </w:rPr>
              <w:t xml:space="preserve">Seed–Series A</w:t>
            </w:r>
          </w:p>
        </w:tc>
        <w:tc>
          <w:tcPr>
            <w:tcMar>
              <w:top w:type="dxa" w:w="60"/>
              <w:left w:type="dxa" w:w="100"/>
              <w:bottom w:type="dxa" w:w="60"/>
              <w:right w:type="dxa" w:w="100"/>
            </w:tcMar>
          </w:tcPr>
          <w:p>
            <w:pPr>
              <w:jc w:val="center"/>
            </w:pPr>
            <w:r>
              <w:rPr>
                <w:rFonts w:ascii="Arial" w:cs="Arial" w:eastAsia="Arial" w:hAnsi="Arial"/>
                <w:b w:val="false"/>
                <w:bCs w:val="false"/>
                <w:color w:val="555555"/>
                <w:sz w:val="15"/>
                <w:szCs w:val="15"/>
              </w:rPr>
              <w:t xml:space="preserve">Series A–B (sweet spot)</w:t>
            </w:r>
          </w:p>
        </w:tc>
        <w:tc>
          <w:tcPr>
            <w:tcMar>
              <w:top w:type="dxa" w:w="60"/>
              <w:left w:type="dxa" w:w="100"/>
              <w:bottom w:type="dxa" w:w="60"/>
              <w:right w:type="dxa" w:w="100"/>
            </w:tcMar>
          </w:tcPr>
          <w:p>
            <w:pPr>
              <w:jc w:val="center"/>
            </w:pPr>
            <w:r>
              <w:rPr>
                <w:rFonts w:ascii="Arial" w:cs="Arial" w:eastAsia="Arial" w:hAnsi="Arial"/>
                <w:b w:val="false"/>
                <w:bCs w:val="false"/>
                <w:color w:val="555555"/>
                <w:sz w:val="15"/>
                <w:szCs w:val="15"/>
              </w:rPr>
              <w:t xml:space="preserve">Regulated / multi-framework</w:t>
            </w:r>
          </w:p>
        </w:tc>
      </w:tr>
    </w:tbl>
    <w:p>
      <w:pPr>
        <w:spacing w:after="50" w:before="150"/>
      </w:pPr>
      <w:r>
        <w:rPr>
          <w:rFonts w:ascii="Arial" w:cs="Arial" w:eastAsia="Arial" w:hAnsi="Arial"/>
          <w:b/>
          <w:bCs/>
          <w:color w:val="000000"/>
          <w:sz w:val="20"/>
          <w:szCs w:val="20"/>
        </w:rPr>
        <w:t xml:space="preserve">Beyond the subscription</w:t>
      </w:r>
    </w:p>
    <w:p>
      <w:pPr>
        <w:spacing w:after="100"/>
      </w:pPr>
      <w:r>
        <w:rPr>
          <w:rFonts w:ascii="Arial" w:cs="Arial" w:eastAsia="Arial" w:hAnsi="Arial"/>
          <w:color w:val="000000"/>
          <w:sz w:val="19"/>
          <w:szCs w:val="19"/>
        </w:rPr>
        <w:t xml:space="preserve">Revenue compounds through audit-readiness sprints, policy &amp; artifact generation, the Verified badge, usage overage, and — as the dataset matures — benchmark data. Compliance is never one-time, so every new AI system and every new regulation is a reason to pay more, at near-zero new cost to serve.</w:t>
      </w:r>
    </w:p>
    <w:p>
      <w:pPr>
        <w:pStyle w:val="Heading1"/>
        <w:spacing w:after="40" w:before="300"/>
      </w:pPr>
      <w:r>
        <w:rPr>
          <w:rFonts w:ascii="Arial" w:cs="Arial" w:eastAsia="Arial" w:hAnsi="Arial"/>
          <w:b/>
          <w:bCs/>
          <w:color w:val="000000"/>
          <w:sz w:val="24"/>
          <w:szCs w:val="24"/>
        </w:rPr>
        <w:t xml:space="preserve">09  </w:t>
      </w:r>
      <w:r>
        <w:rPr>
          <w:rFonts w:ascii="Arial" w:cs="Arial" w:eastAsia="Arial" w:hAnsi="Arial"/>
          <w:b/>
          <w:bCs/>
          <w:color w:val="000000"/>
          <w:sz w:val="24"/>
          <w:szCs w:val="24"/>
        </w:rPr>
        <w:t xml:space="preserve">UNIT ECONOMICS</w:t>
      </w:r>
    </w:p>
    <w:p>
      <w:pPr>
        <w:pBdr>
          <w:bottom w:val="single" w:color="000000" w:sz="6" w:space="1"/>
        </w:pBdr>
        <w:spacing w:after="150" w:before="40"/>
      </w:pPr>
      <w:r>
        <w:rPr>
          <w:rFonts w:ascii="Arial" w:cs="Arial" w:eastAsia="Arial" w:hAnsi="Arial"/>
        </w:rPr>
        <w:t xml:space="preserve"/>
      </w:r>
    </w:p>
    <w:p>
      <w:pPr>
        <w:spacing w:after="130"/>
      </w:pPr>
      <w:r>
        <w:rPr>
          <w:rFonts w:ascii="Arial" w:cs="Arial" w:eastAsia="Arial" w:hAnsi="Arial"/>
          <w:i/>
          <w:iCs/>
          <w:color w:val="555555"/>
          <w:sz w:val="20"/>
          <w:szCs w:val="20"/>
        </w:rPr>
        <w:t xml:space="preserve">Defensible even conservatively; the upside is engineered, not assumed.</w:t>
      </w:r>
    </w:p>
    <w:tbl>
      <w:tblPr>
        <w:tblW w:type="pct" w:w="100%"/>
        <w:tblBorders>
          <w:top w:val="single" w:color="999999" w:sz="2"/>
          <w:left w:val="none"/>
          <w:bottom w:val="single" w:color="999999" w:sz="2"/>
          <w:right w:val="none"/>
          <w:insideH w:val="single" w:color="D8DEE7" w:sz="1"/>
          <w:insideV w:val="none"/>
        </w:tblBorders>
      </w:tblPr>
      <w:tblGrid>
        <w:gridCol w:w="3600"/>
        <w:gridCol w:w="3000"/>
        <w:gridCol w:w="3000"/>
      </w:tblGrid>
      <w:tr>
        <w:tc>
          <w:tcPr>
            <w:shd w:fill="000000" w:val="clear"/>
            <w:tcMar>
              <w:top w:type="dxa" w:w="60"/>
              <w:left w:type="dxa" w:w="100"/>
              <w:bottom w:type="dxa" w:w="60"/>
              <w:right w:type="dxa" w:w="100"/>
            </w:tcMar>
          </w:tcPr>
          <w:p>
            <w:pPr>
              <w:jc w:val="left"/>
            </w:pPr>
            <w:r>
              <w:rPr>
                <w:rFonts w:ascii="Arial" w:cs="Arial" w:eastAsia="Arial" w:hAnsi="Arial"/>
                <w:b/>
                <w:bCs/>
                <w:color w:val="FFFFFF"/>
                <w:sz w:val="15"/>
                <w:szCs w:val="15"/>
              </w:rPr>
              <w:t xml:space="preserve">Metric</w:t>
            </w:r>
          </w:p>
        </w:tc>
        <w:tc>
          <w:tcPr>
            <w:shd w:fill="000000" w:val="clear"/>
            <w:tcMar>
              <w:top w:type="dxa" w:w="60"/>
              <w:left w:type="dxa" w:w="100"/>
              <w:bottom w:type="dxa" w:w="60"/>
              <w:right w:type="dxa" w:w="100"/>
            </w:tcMar>
          </w:tcPr>
          <w:p>
            <w:pPr>
              <w:jc w:val="center"/>
            </w:pPr>
            <w:r>
              <w:rPr>
                <w:rFonts w:ascii="Arial" w:cs="Arial" w:eastAsia="Arial" w:hAnsi="Arial"/>
                <w:b/>
                <w:bCs/>
                <w:color w:val="FFFFFF"/>
                <w:sz w:val="15"/>
                <w:szCs w:val="15"/>
              </w:rPr>
              <w:t xml:space="preserve">Conservative</w:t>
            </w:r>
          </w:p>
        </w:tc>
        <w:tc>
          <w:tcPr>
            <w:shd w:fill="000000" w:val="clear"/>
            <w:tcMar>
              <w:top w:type="dxa" w:w="60"/>
              <w:left w:type="dxa" w:w="100"/>
              <w:bottom w:type="dxa" w:w="60"/>
              <w:right w:type="dxa" w:w="100"/>
            </w:tcMar>
          </w:tcPr>
          <w:p>
            <w:pPr>
              <w:jc w:val="center"/>
            </w:pPr>
            <w:r>
              <w:rPr>
                <w:rFonts w:ascii="Arial" w:cs="Arial" w:eastAsia="Arial" w:hAnsi="Arial"/>
                <w:b/>
                <w:bCs/>
                <w:color w:val="FFFFFF"/>
                <w:sz w:val="15"/>
                <w:szCs w:val="15"/>
              </w:rPr>
              <w:t xml:space="preserve">Target</w:t>
            </w:r>
          </w:p>
        </w:tc>
      </w:tr>
      <w:tr>
        <w:tc>
          <w:tcPr>
            <w:tcMar>
              <w:top w:type="dxa" w:w="60"/>
              <w:left w:type="dxa" w:w="100"/>
              <w:bottom w:type="dxa" w:w="60"/>
              <w:right w:type="dxa" w:w="100"/>
            </w:tcMar>
          </w:tcPr>
          <w:p>
            <w:pPr>
              <w:jc w:val="left"/>
            </w:pPr>
            <w:r>
              <w:rPr>
                <w:rFonts w:ascii="Arial" w:cs="Arial" w:eastAsia="Arial" w:hAnsi="Arial"/>
                <w:b/>
                <w:bCs/>
                <w:color w:val="000000"/>
                <w:sz w:val="15"/>
                <w:szCs w:val="15"/>
              </w:rPr>
              <w:t xml:space="preserve">Blended ACV</w:t>
            </w:r>
          </w:p>
        </w:tc>
        <w:tc>
          <w:tcPr>
            <w:tcMar>
              <w:top w:type="dxa" w:w="60"/>
              <w:left w:type="dxa" w:w="100"/>
              <w:bottom w:type="dxa" w:w="60"/>
              <w:right w:type="dxa" w:w="100"/>
            </w:tcMar>
          </w:tcPr>
          <w:p>
            <w:pPr>
              <w:jc w:val="center"/>
            </w:pPr>
            <w:r>
              <w:rPr>
                <w:rFonts w:ascii="Arial" w:cs="Arial" w:eastAsia="Arial" w:hAnsi="Arial"/>
                <w:b w:val="false"/>
                <w:bCs w:val="false"/>
                <w:color w:val="555555"/>
                <w:sz w:val="15"/>
                <w:szCs w:val="15"/>
              </w:rPr>
              <w:t xml:space="preserve">$10,000</w:t>
            </w:r>
          </w:p>
        </w:tc>
        <w:tc>
          <w:tcPr>
            <w:tcMar>
              <w:top w:type="dxa" w:w="60"/>
              <w:left w:type="dxa" w:w="100"/>
              <w:bottom w:type="dxa" w:w="60"/>
              <w:right w:type="dxa" w:w="100"/>
            </w:tcMar>
          </w:tcPr>
          <w:p>
            <w:pPr>
              <w:jc w:val="center"/>
            </w:pPr>
            <w:r>
              <w:rPr>
                <w:rFonts w:ascii="Arial" w:cs="Arial" w:eastAsia="Arial" w:hAnsi="Arial"/>
                <w:b w:val="false"/>
                <w:bCs w:val="false"/>
                <w:color w:val="555555"/>
                <w:sz w:val="15"/>
                <w:szCs w:val="15"/>
              </w:rPr>
              <w:t xml:space="preserve">$20,000</w:t>
            </w:r>
          </w:p>
        </w:tc>
      </w:tr>
      <w:tr>
        <w:tc>
          <w:tcPr>
            <w:shd w:fill="F5F7FA" w:val="clear"/>
            <w:tcMar>
              <w:top w:type="dxa" w:w="60"/>
              <w:left w:type="dxa" w:w="100"/>
              <w:bottom w:type="dxa" w:w="60"/>
              <w:right w:type="dxa" w:w="100"/>
            </w:tcMar>
          </w:tcPr>
          <w:p>
            <w:pPr>
              <w:jc w:val="left"/>
            </w:pPr>
            <w:r>
              <w:rPr>
                <w:rFonts w:ascii="Arial" w:cs="Arial" w:eastAsia="Arial" w:hAnsi="Arial"/>
                <w:b/>
                <w:bCs/>
                <w:color w:val="000000"/>
                <w:sz w:val="15"/>
                <w:szCs w:val="15"/>
              </w:rPr>
              <w:t xml:space="preserve">Gross margin</w:t>
            </w:r>
          </w:p>
        </w:tc>
        <w:tc>
          <w:tcPr>
            <w:shd w:fill="F5F7FA" w:val="clear"/>
            <w:tcMar>
              <w:top w:type="dxa" w:w="60"/>
              <w:left w:type="dxa" w:w="100"/>
              <w:bottom w:type="dxa" w:w="60"/>
              <w:right w:type="dxa" w:w="100"/>
            </w:tcMar>
          </w:tcPr>
          <w:p>
            <w:pPr>
              <w:jc w:val="center"/>
            </w:pPr>
            <w:r>
              <w:rPr>
                <w:rFonts w:ascii="Arial" w:cs="Arial" w:eastAsia="Arial" w:hAnsi="Arial"/>
                <w:b w:val="false"/>
                <w:bCs w:val="false"/>
                <w:color w:val="555555"/>
                <w:sz w:val="15"/>
                <w:szCs w:val="15"/>
              </w:rPr>
              <w:t xml:space="preserve">70%</w:t>
            </w:r>
          </w:p>
        </w:tc>
        <w:tc>
          <w:tcPr>
            <w:shd w:fill="F5F7FA" w:val="clear"/>
            <w:tcMar>
              <w:top w:type="dxa" w:w="60"/>
              <w:left w:type="dxa" w:w="100"/>
              <w:bottom w:type="dxa" w:w="60"/>
              <w:right w:type="dxa" w:w="100"/>
            </w:tcMar>
          </w:tcPr>
          <w:p>
            <w:pPr>
              <w:jc w:val="center"/>
            </w:pPr>
            <w:r>
              <w:rPr>
                <w:rFonts w:ascii="Arial" w:cs="Arial" w:eastAsia="Arial" w:hAnsi="Arial"/>
                <w:b w:val="false"/>
                <w:bCs w:val="false"/>
                <w:color w:val="555555"/>
                <w:sz w:val="15"/>
                <w:szCs w:val="15"/>
              </w:rPr>
              <w:t xml:space="preserve">82%</w:t>
            </w:r>
          </w:p>
        </w:tc>
      </w:tr>
      <w:tr>
        <w:tc>
          <w:tcPr>
            <w:tcMar>
              <w:top w:type="dxa" w:w="60"/>
              <w:left w:type="dxa" w:w="100"/>
              <w:bottom w:type="dxa" w:w="60"/>
              <w:right w:type="dxa" w:w="100"/>
            </w:tcMar>
          </w:tcPr>
          <w:p>
            <w:pPr>
              <w:jc w:val="left"/>
            </w:pPr>
            <w:r>
              <w:rPr>
                <w:rFonts w:ascii="Arial" w:cs="Arial" w:eastAsia="Arial" w:hAnsi="Arial"/>
                <w:b/>
                <w:bCs/>
                <w:color w:val="000000"/>
                <w:sz w:val="15"/>
                <w:szCs w:val="15"/>
              </w:rPr>
              <w:t xml:space="preserve">LTV : CAC</w:t>
            </w:r>
          </w:p>
        </w:tc>
        <w:tc>
          <w:tcPr>
            <w:tcMar>
              <w:top w:type="dxa" w:w="60"/>
              <w:left w:type="dxa" w:w="100"/>
              <w:bottom w:type="dxa" w:w="60"/>
              <w:right w:type="dxa" w:w="100"/>
            </w:tcMar>
          </w:tcPr>
          <w:p>
            <w:pPr>
              <w:jc w:val="center"/>
            </w:pPr>
            <w:r>
              <w:rPr>
                <w:rFonts w:ascii="Arial" w:cs="Arial" w:eastAsia="Arial" w:hAnsi="Arial"/>
                <w:b w:val="false"/>
                <w:bCs w:val="false"/>
                <w:color w:val="555555"/>
                <w:sz w:val="15"/>
                <w:szCs w:val="15"/>
              </w:rPr>
              <w:t xml:space="preserve">~7.8 : 1</w:t>
            </w:r>
          </w:p>
        </w:tc>
        <w:tc>
          <w:tcPr>
            <w:tcMar>
              <w:top w:type="dxa" w:w="60"/>
              <w:left w:type="dxa" w:w="100"/>
              <w:bottom w:type="dxa" w:w="60"/>
              <w:right w:type="dxa" w:w="100"/>
            </w:tcMar>
          </w:tcPr>
          <w:p>
            <w:pPr>
              <w:jc w:val="center"/>
            </w:pPr>
            <w:r>
              <w:rPr>
                <w:rFonts w:ascii="Arial" w:cs="Arial" w:eastAsia="Arial" w:hAnsi="Arial"/>
                <w:b w:val="false"/>
                <w:bCs w:val="false"/>
                <w:color w:val="555555"/>
                <w:sz w:val="15"/>
                <w:szCs w:val="15"/>
              </w:rPr>
              <w:t xml:space="preserve">~13–15 : 1</w:t>
            </w:r>
          </w:p>
        </w:tc>
      </w:tr>
      <w:tr>
        <w:tc>
          <w:tcPr>
            <w:shd w:fill="F5F7FA" w:val="clear"/>
            <w:tcMar>
              <w:top w:type="dxa" w:w="60"/>
              <w:left w:type="dxa" w:w="100"/>
              <w:bottom w:type="dxa" w:w="60"/>
              <w:right w:type="dxa" w:w="100"/>
            </w:tcMar>
          </w:tcPr>
          <w:p>
            <w:pPr>
              <w:jc w:val="left"/>
            </w:pPr>
            <w:r>
              <w:rPr>
                <w:rFonts w:ascii="Arial" w:cs="Arial" w:eastAsia="Arial" w:hAnsi="Arial"/>
                <w:b/>
                <w:bCs/>
                <w:color w:val="000000"/>
                <w:sz w:val="15"/>
                <w:szCs w:val="15"/>
              </w:rPr>
              <w:t xml:space="preserve">CAC payback</w:t>
            </w:r>
          </w:p>
        </w:tc>
        <w:tc>
          <w:tcPr>
            <w:shd w:fill="F5F7FA" w:val="clear"/>
            <w:tcMar>
              <w:top w:type="dxa" w:w="60"/>
              <w:left w:type="dxa" w:w="100"/>
              <w:bottom w:type="dxa" w:w="60"/>
              <w:right w:type="dxa" w:w="100"/>
            </w:tcMar>
          </w:tcPr>
          <w:p>
            <w:pPr>
              <w:jc w:val="center"/>
            </w:pPr>
            <w:r>
              <w:rPr>
                <w:rFonts w:ascii="Arial" w:cs="Arial" w:eastAsia="Arial" w:hAnsi="Arial"/>
                <w:b w:val="false"/>
                <w:bCs w:val="false"/>
                <w:color w:val="555555"/>
                <w:sz w:val="15"/>
                <w:szCs w:val="15"/>
              </w:rPr>
              <w:t xml:space="preserve">~9 months</w:t>
            </w:r>
          </w:p>
        </w:tc>
        <w:tc>
          <w:tcPr>
            <w:shd w:fill="F5F7FA" w:val="clear"/>
            <w:tcMar>
              <w:top w:type="dxa" w:w="60"/>
              <w:left w:type="dxa" w:w="100"/>
              <w:bottom w:type="dxa" w:w="60"/>
              <w:right w:type="dxa" w:w="100"/>
            </w:tcMar>
          </w:tcPr>
          <w:p>
            <w:pPr>
              <w:jc w:val="center"/>
            </w:pPr>
            <w:r>
              <w:rPr>
                <w:rFonts w:ascii="Arial" w:cs="Arial" w:eastAsia="Arial" w:hAnsi="Arial"/>
                <w:b w:val="false"/>
                <w:bCs w:val="false"/>
                <w:color w:val="555555"/>
                <w:sz w:val="15"/>
                <w:szCs w:val="15"/>
              </w:rPr>
              <w:t xml:space="preserve">~4.5 months</w:t>
            </w:r>
          </w:p>
        </w:tc>
      </w:tr>
      <w:tr>
        <w:tc>
          <w:tcPr>
            <w:tcMar>
              <w:top w:type="dxa" w:w="60"/>
              <w:left w:type="dxa" w:w="100"/>
              <w:bottom w:type="dxa" w:w="60"/>
              <w:right w:type="dxa" w:w="100"/>
            </w:tcMar>
          </w:tcPr>
          <w:p>
            <w:pPr>
              <w:jc w:val="left"/>
            </w:pPr>
            <w:r>
              <w:rPr>
                <w:rFonts w:ascii="Arial" w:cs="Arial" w:eastAsia="Arial" w:hAnsi="Arial"/>
                <w:b/>
                <w:bCs/>
                <w:color w:val="000000"/>
                <w:sz w:val="15"/>
                <w:szCs w:val="15"/>
              </w:rPr>
              <w:t xml:space="preserve">Net revenue retention</w:t>
            </w:r>
          </w:p>
        </w:tc>
        <w:tc>
          <w:tcPr>
            <w:tcMar>
              <w:top w:type="dxa" w:w="60"/>
              <w:left w:type="dxa" w:w="100"/>
              <w:bottom w:type="dxa" w:w="60"/>
              <w:right w:type="dxa" w:w="100"/>
            </w:tcMar>
          </w:tcPr>
          <w:p>
            <w:pPr>
              <w:jc w:val="center"/>
            </w:pPr>
            <w:r>
              <w:rPr>
                <w:rFonts w:ascii="Arial" w:cs="Arial" w:eastAsia="Arial" w:hAnsi="Arial"/>
                <w:b w:val="false"/>
                <w:bCs w:val="false"/>
                <w:color w:val="555555"/>
                <w:sz w:val="15"/>
                <w:szCs w:val="15"/>
              </w:rPr>
              <w:t xml:space="preserve">—</w:t>
            </w:r>
          </w:p>
        </w:tc>
        <w:tc>
          <w:tcPr>
            <w:tcMar>
              <w:top w:type="dxa" w:w="60"/>
              <w:left w:type="dxa" w:w="100"/>
              <w:bottom w:type="dxa" w:w="60"/>
              <w:right w:type="dxa" w:w="100"/>
            </w:tcMar>
          </w:tcPr>
          <w:p>
            <w:pPr>
              <w:jc w:val="center"/>
            </w:pPr>
            <w:r>
              <w:rPr>
                <w:rFonts w:ascii="Arial" w:cs="Arial" w:eastAsia="Arial" w:hAnsi="Arial"/>
                <w:b w:val="false"/>
                <w:bCs w:val="false"/>
                <w:color w:val="555555"/>
                <w:sz w:val="15"/>
                <w:szCs w:val="15"/>
              </w:rPr>
              <w:t xml:space="preserve">110–120%</w:t>
            </w:r>
          </w:p>
        </w:tc>
      </w:tr>
    </w:tbl>
    <w:p>
      <w:pPr>
        <w:spacing w:after="100" w:before="50"/>
      </w:pPr>
      <w:r>
        <w:rPr>
          <w:rFonts w:ascii="Arial" w:cs="Arial" w:eastAsia="Arial" w:hAnsi="Arial"/>
          <w:i/>
          <w:iCs/>
          <w:color w:val="999999"/>
          <w:sz w:val="16"/>
          <w:szCs w:val="16"/>
        </w:rPr>
        <w:t xml:space="preserve">Illustrative, calibrated to early data. Both states clear healthy-SaaS benchmarks (3:1, &lt;12-month payback). The largest single lever is automating the regulatory-update engine, moving gross margin from ~70% toward 85%.</w:t>
      </w:r>
    </w:p>
    <w:p>
      <w:pPr>
        <w:pageBreakBefore/>
      </w:pPr>
    </w:p>
    <w:p>
      <w:pPr>
        <w:pStyle w:val="Heading1"/>
        <w:spacing w:after="40" w:before="300"/>
      </w:pPr>
      <w:r>
        <w:rPr>
          <w:rFonts w:ascii="Arial" w:cs="Arial" w:eastAsia="Arial" w:hAnsi="Arial"/>
          <w:b/>
          <w:bCs/>
          <w:color w:val="000000"/>
          <w:sz w:val="24"/>
          <w:szCs w:val="24"/>
        </w:rPr>
        <w:t xml:space="preserve">10  </w:t>
      </w:r>
      <w:r>
        <w:rPr>
          <w:rFonts w:ascii="Arial" w:cs="Arial" w:eastAsia="Arial" w:hAnsi="Arial"/>
          <w:b/>
          <w:bCs/>
          <w:color w:val="000000"/>
          <w:sz w:val="24"/>
          <w:szCs w:val="24"/>
        </w:rPr>
        <w:t xml:space="preserve">TWO-YEAR PLAN</w:t>
      </w:r>
    </w:p>
    <w:p>
      <w:pPr>
        <w:pBdr>
          <w:bottom w:val="single" w:color="000000" w:sz="6" w:space="1"/>
        </w:pBdr>
        <w:spacing w:after="150" w:before="40"/>
      </w:pPr>
      <w:r>
        <w:rPr>
          <w:rFonts w:ascii="Arial" w:cs="Arial" w:eastAsia="Arial" w:hAnsi="Arial"/>
        </w:rPr>
        <w:t xml:space="preserve"/>
      </w:r>
    </w:p>
    <w:p>
      <w:pPr>
        <w:spacing w:after="130"/>
      </w:pPr>
      <w:r>
        <w:rPr>
          <w:rFonts w:ascii="Arial" w:cs="Arial" w:eastAsia="Arial" w:hAnsi="Arial"/>
          <w:i/>
          <w:iCs/>
          <w:color w:val="555555"/>
          <w:sz w:val="20"/>
          <w:szCs w:val="20"/>
        </w:rPr>
        <w:t xml:space="preserve">Define and own the AI Trust category.</w:t>
      </w:r>
    </w:p>
    <w:p>
      <w:pPr>
        <w:spacing w:after="100"/>
      </w:pPr>
      <w:r>
        <w:rPr>
          <w:rFonts w:ascii="Arial" w:cs="Arial" w:eastAsia="Arial" w:hAnsi="Arial"/>
          <w:color w:val="000000"/>
          <w:sz w:val="19"/>
          <w:szCs w:val="19"/>
        </w:rPr>
        <w:t xml:space="preserve">The 24-month objective is category ownership, not just growth: make the Trust Score a recognised signal, prove global reach, harden the data moat, and build an ecosystem. Four six-month phases — Foundation &amp; Wedge, Proof &amp; Repeatability, Scale &amp; Standard, Category &amp; Moat — each gated on a single exit milestone.</w:t>
      </w:r>
    </w:p>
    <w:p>
      <w:pPr>
        <w:pStyle w:val="Heading1"/>
        <w:spacing w:after="40" w:before="300"/>
      </w:pPr>
      <w:r>
        <w:rPr>
          <w:rFonts w:ascii="Arial" w:cs="Arial" w:eastAsia="Arial" w:hAnsi="Arial"/>
          <w:b/>
          <w:bCs/>
          <w:color w:val="000000"/>
          <w:sz w:val="24"/>
          <w:szCs w:val="24"/>
        </w:rPr>
        <w:t xml:space="preserve">11  </w:t>
      </w:r>
      <w:r>
        <w:rPr>
          <w:rFonts w:ascii="Arial" w:cs="Arial" w:eastAsia="Arial" w:hAnsi="Arial"/>
          <w:b/>
          <w:bCs/>
          <w:color w:val="000000"/>
          <w:sz w:val="24"/>
          <w:szCs w:val="24"/>
        </w:rPr>
        <w:t xml:space="preserve">FIVE-YEAR VISION</w:t>
      </w:r>
    </w:p>
    <w:p>
      <w:pPr>
        <w:pBdr>
          <w:bottom w:val="single" w:color="000000" w:sz="6" w:space="1"/>
        </w:pBdr>
        <w:spacing w:after="150" w:before="40"/>
      </w:pPr>
      <w:r>
        <w:rPr>
          <w:rFonts w:ascii="Arial" w:cs="Arial" w:eastAsia="Arial" w:hAnsi="Arial"/>
        </w:rPr>
        <w:t xml:space="preserve"/>
      </w:r>
    </w:p>
    <w:p>
      <w:pPr>
        <w:spacing w:after="130"/>
      </w:pPr>
      <w:r>
        <w:rPr>
          <w:rFonts w:ascii="Arial" w:cs="Arial" w:eastAsia="Arial" w:hAnsi="Arial"/>
          <w:i/>
          <w:iCs/>
          <w:color w:val="555555"/>
          <w:sz w:val="20"/>
          <w:szCs w:val="20"/>
        </w:rPr>
        <w:t xml:space="preserve">Become foundational infrastructure the AI economy runs on.</w:t>
      </w:r>
    </w:p>
    <w:p>
      <w:pPr>
        <w:spacing w:after="100"/>
      </w:pPr>
      <w:r>
        <w:rPr>
          <w:rFonts w:ascii="Arial" w:cs="Arial" w:eastAsia="Arial" w:hAnsi="Arial"/>
          <w:color w:val="000000"/>
          <w:sz w:val="19"/>
          <w:szCs w:val="19"/>
        </w:rPr>
        <w:t xml:space="preserve">Over five years, CompliVibe moves from category leader to standard to infrastructure: “CompliVibe Verified” as the mark buyers, insurers, and regulators look for; continuous, autonomous trust; the definitive AI-risk dataset; a seat at the table on regulation; and the trust rails for the emerging agent economy.</w:t>
      </w:r>
    </w:p>
    <w:p>
      <w:pPr>
        <w:pageBreakBefore/>
      </w:pPr>
    </w:p>
    <w:p>
      <w:pPr>
        <w:pStyle w:val="Heading1"/>
        <w:spacing w:after="40" w:before="300"/>
      </w:pPr>
      <w:r>
        <w:rPr>
          <w:rFonts w:ascii="Arial" w:cs="Arial" w:eastAsia="Arial" w:hAnsi="Arial"/>
          <w:b/>
          <w:bCs/>
          <w:color w:val="000000"/>
          <w:sz w:val="24"/>
          <w:szCs w:val="24"/>
        </w:rPr>
        <w:t xml:space="preserve">12  </w:t>
      </w:r>
      <w:r>
        <w:rPr>
          <w:rFonts w:ascii="Arial" w:cs="Arial" w:eastAsia="Arial" w:hAnsi="Arial"/>
          <w:b/>
          <w:bCs/>
          <w:color w:val="000000"/>
          <w:sz w:val="24"/>
          <w:szCs w:val="24"/>
        </w:rPr>
        <w:t xml:space="preserve">OPERATIONS</w:t>
      </w:r>
    </w:p>
    <w:p>
      <w:pPr>
        <w:pBdr>
          <w:bottom w:val="single" w:color="000000" w:sz="6" w:space="1"/>
        </w:pBdr>
        <w:spacing w:after="150" w:before="40"/>
      </w:pPr>
      <w:r>
        <w:rPr>
          <w:rFonts w:ascii="Arial" w:cs="Arial" w:eastAsia="Arial" w:hAnsi="Arial"/>
        </w:rPr>
        <w:t xml:space="preserve"/>
      </w:r>
    </w:p>
    <w:p>
      <w:pPr>
        <w:spacing w:after="130"/>
      </w:pPr>
      <w:r>
        <w:rPr>
          <w:rFonts w:ascii="Arial" w:cs="Arial" w:eastAsia="Arial" w:hAnsi="Arial"/>
          <w:i/>
          <w:iCs/>
          <w:color w:val="555555"/>
          <w:sz w:val="20"/>
          <w:szCs w:val="20"/>
        </w:rPr>
        <w:t xml:space="preserve">Three layers; for a trust company, operational rigour is the product.</w:t>
      </w:r>
    </w:p>
    <w:p>
      <w:pPr>
        <w:pStyle w:val="ListParagraph"/>
        <w:numPr>
          <w:ilvl w:val="0"/>
          <w:numId w:val="2"/>
        </w:numPr>
        <w:spacing w:after="30"/>
      </w:pPr>
      <w:r>
        <w:rPr>
          <w:rFonts w:ascii="Arial" w:cs="Arial" w:eastAsia="Arial" w:hAnsi="Arial"/>
          <w:b/>
          <w:bCs/>
          <w:color w:val="000000"/>
          <w:sz w:val="19"/>
          <w:szCs w:val="19"/>
        </w:rPr>
        <w:t xml:space="preserve">Platform Ops — </w:t>
      </w:r>
      <w:r>
        <w:rPr>
          <w:rFonts w:ascii="Arial" w:cs="Arial" w:eastAsia="Arial" w:hAnsi="Arial"/>
          <w:color w:val="000000"/>
          <w:sz w:val="19"/>
          <w:szCs w:val="19"/>
        </w:rPr>
        <w:t xml:space="preserve">secure, reliable, always-current platform (incl. the 48h update engine and our own SOC 2/ISO posture).</w:t>
      </w:r>
    </w:p>
    <w:p>
      <w:pPr>
        <w:pStyle w:val="ListParagraph"/>
        <w:numPr>
          <w:ilvl w:val="0"/>
          <w:numId w:val="2"/>
        </w:numPr>
        <w:spacing w:after="30"/>
      </w:pPr>
      <w:r>
        <w:rPr>
          <w:rFonts w:ascii="Arial" w:cs="Arial" w:eastAsia="Arial" w:hAnsi="Arial"/>
          <w:b/>
          <w:bCs/>
          <w:color w:val="000000"/>
          <w:sz w:val="19"/>
          <w:szCs w:val="19"/>
        </w:rPr>
        <w:t xml:space="preserve">Customer Ops — </w:t>
      </w:r>
      <w:r>
        <w:rPr>
          <w:rFonts w:ascii="Arial" w:cs="Arial" w:eastAsia="Arial" w:hAnsi="Arial"/>
          <w:color w:val="000000"/>
          <w:sz w:val="19"/>
          <w:szCs w:val="19"/>
        </w:rPr>
        <w:t xml:space="preserve">onboarding, success, support, renewals — driving retention and expansion.</w:t>
      </w:r>
    </w:p>
    <w:p>
      <w:pPr>
        <w:pStyle w:val="ListParagraph"/>
        <w:numPr>
          <w:ilvl w:val="0"/>
          <w:numId w:val="2"/>
        </w:numPr>
        <w:spacing w:after="30"/>
      </w:pPr>
      <w:r>
        <w:rPr>
          <w:rFonts w:ascii="Arial" w:cs="Arial" w:eastAsia="Arial" w:hAnsi="Arial"/>
          <w:b/>
          <w:bCs/>
          <w:color w:val="000000"/>
          <w:sz w:val="19"/>
          <w:szCs w:val="19"/>
        </w:rPr>
        <w:t xml:space="preserve">Business Ops — </w:t>
      </w:r>
      <w:r>
        <w:rPr>
          <w:rFonts w:ascii="Arial" w:cs="Arial" w:eastAsia="Arial" w:hAnsi="Arial"/>
          <w:color w:val="000000"/>
          <w:sz w:val="19"/>
          <w:szCs w:val="19"/>
        </w:rPr>
        <w:t xml:space="preserve">GTM, finance, legal, people, and a single metrics dashboard — run lean and compliant.</w:t>
      </w:r>
    </w:p>
    <w:p>
      <w:pPr>
        <w:pStyle w:val="Heading1"/>
        <w:spacing w:after="40" w:before="300"/>
      </w:pPr>
      <w:r>
        <w:rPr>
          <w:rFonts w:ascii="Arial" w:cs="Arial" w:eastAsia="Arial" w:hAnsi="Arial"/>
          <w:b/>
          <w:bCs/>
          <w:color w:val="000000"/>
          <w:sz w:val="24"/>
          <w:szCs w:val="24"/>
        </w:rPr>
        <w:t xml:space="preserve">13  </w:t>
      </w:r>
      <w:r>
        <w:rPr>
          <w:rFonts w:ascii="Arial" w:cs="Arial" w:eastAsia="Arial" w:hAnsi="Arial"/>
          <w:b/>
          <w:bCs/>
          <w:color w:val="000000"/>
          <w:sz w:val="24"/>
          <w:szCs w:val="24"/>
        </w:rPr>
        <w:t xml:space="preserve">POLICIES &amp; GOVERNANCE</w:t>
      </w:r>
    </w:p>
    <w:p>
      <w:pPr>
        <w:pBdr>
          <w:bottom w:val="single" w:color="000000" w:sz="6" w:space="1"/>
        </w:pBdr>
        <w:spacing w:after="150" w:before="40"/>
      </w:pPr>
      <w:r>
        <w:rPr>
          <w:rFonts w:ascii="Arial" w:cs="Arial" w:eastAsia="Arial" w:hAnsi="Arial"/>
        </w:rPr>
        <w:t xml:space="preserve"/>
      </w:r>
    </w:p>
    <w:p>
      <w:pPr>
        <w:spacing w:after="130"/>
      </w:pPr>
      <w:r>
        <w:rPr>
          <w:rFonts w:ascii="Arial" w:cs="Arial" w:eastAsia="Arial" w:hAnsi="Arial"/>
          <w:i/>
          <w:iCs/>
          <w:color w:val="555555"/>
          <w:sz w:val="20"/>
          <w:szCs w:val="20"/>
        </w:rPr>
        <w:t xml:space="preserve">We hold ourselves to the standard we sell.</w:t>
      </w:r>
    </w:p>
    <w:p>
      <w:pPr>
        <w:spacing w:after="100"/>
      </w:pPr>
      <w:r>
        <w:rPr>
          <w:rFonts w:ascii="Arial" w:cs="Arial" w:eastAsia="Arial" w:hAnsi="Arial"/>
          <w:color w:val="000000"/>
          <w:sz w:val="19"/>
          <w:szCs w:val="19"/>
        </w:rPr>
        <w:t xml:space="preserve">A full internal policy set spans governance &amp; ethics, information security, data protection &amp; privacy, AI governance on our own systems, resilience &amp; third-party risk, people, and a customer-facing legal layer (ToS, Privacy Policy, DPA, SLA, responsible disclosure). Being audited on our own standard is a proof point, not overhead.</w:t>
      </w:r>
    </w:p>
    <w:p>
      <w:pPr>
        <w:pageBreakBefore/>
      </w:pPr>
    </w:p>
    <w:p>
      <w:pPr>
        <w:pStyle w:val="Heading1"/>
        <w:spacing w:after="40" w:before="300"/>
      </w:pPr>
      <w:r>
        <w:rPr>
          <w:rFonts w:ascii="Arial" w:cs="Arial" w:eastAsia="Arial" w:hAnsi="Arial"/>
          <w:b/>
          <w:bCs/>
          <w:color w:val="000000"/>
          <w:sz w:val="24"/>
          <w:szCs w:val="24"/>
        </w:rPr>
        <w:t xml:space="preserve">14  </w:t>
      </w:r>
      <w:r>
        <w:rPr>
          <w:rFonts w:ascii="Arial" w:cs="Arial" w:eastAsia="Arial" w:hAnsi="Arial"/>
          <w:b/>
          <w:bCs/>
          <w:color w:val="000000"/>
          <w:sz w:val="24"/>
          <w:szCs w:val="24"/>
        </w:rPr>
        <w:t xml:space="preserve">MOAT &amp; COMPETITION</w:t>
      </w:r>
    </w:p>
    <w:p>
      <w:pPr>
        <w:pBdr>
          <w:bottom w:val="single" w:color="000000" w:sz="6" w:space="1"/>
        </w:pBdr>
        <w:spacing w:after="150" w:before="40"/>
      </w:pPr>
      <w:r>
        <w:rPr>
          <w:rFonts w:ascii="Arial" w:cs="Arial" w:eastAsia="Arial" w:hAnsi="Arial"/>
        </w:rPr>
        <w:t xml:space="preserve"/>
      </w:r>
    </w:p>
    <w:p>
      <w:pPr>
        <w:spacing w:after="130"/>
      </w:pPr>
      <w:r>
        <w:rPr>
          <w:rFonts w:ascii="Arial" w:cs="Arial" w:eastAsia="Arial" w:hAnsi="Arial"/>
          <w:i/>
          <w:iCs/>
          <w:color w:val="555555"/>
          <w:sz w:val="20"/>
          <w:szCs w:val="20"/>
        </w:rPr>
        <w:t xml:space="preserve">We win a newer game the incumbents are late to.</w:t>
      </w:r>
    </w:p>
    <w:p>
      <w:pPr>
        <w:pStyle w:val="ListParagraph"/>
        <w:numPr>
          <w:ilvl w:val="0"/>
          <w:numId w:val="2"/>
        </w:numPr>
        <w:spacing w:after="30"/>
      </w:pPr>
      <w:r>
        <w:rPr>
          <w:rFonts w:ascii="Arial" w:cs="Arial" w:eastAsia="Arial" w:hAnsi="Arial"/>
          <w:b/>
          <w:bCs/>
          <w:color w:val="000000"/>
          <w:sz w:val="19"/>
          <w:szCs w:val="19"/>
        </w:rPr>
        <w:t xml:space="preserve">Category timing — </w:t>
      </w:r>
      <w:r>
        <w:rPr>
          <w:rFonts w:ascii="Arial" w:cs="Arial" w:eastAsia="Arial" w:hAnsi="Arial"/>
          <w:color w:val="000000"/>
          <w:sz w:val="19"/>
          <w:szCs w:val="19"/>
        </w:rPr>
        <w:t xml:space="preserve">we are AI-native; incumbents (Vanta, Drata) retrofit AI onto security compliance.</w:t>
      </w:r>
    </w:p>
    <w:p>
      <w:pPr>
        <w:pStyle w:val="ListParagraph"/>
        <w:numPr>
          <w:ilvl w:val="0"/>
          <w:numId w:val="2"/>
        </w:numPr>
        <w:spacing w:after="30"/>
      </w:pPr>
      <w:r>
        <w:rPr>
          <w:rFonts w:ascii="Arial" w:cs="Arial" w:eastAsia="Arial" w:hAnsi="Arial"/>
          <w:b/>
          <w:bCs/>
          <w:color w:val="000000"/>
          <w:sz w:val="19"/>
          <w:szCs w:val="19"/>
        </w:rPr>
        <w:t xml:space="preserve">Data moat — </w:t>
      </w:r>
      <w:r>
        <w:rPr>
          <w:rFonts w:ascii="Arial" w:cs="Arial" w:eastAsia="Arial" w:hAnsi="Arial"/>
          <w:color w:val="000000"/>
          <w:sz w:val="19"/>
          <w:szCs w:val="19"/>
        </w:rPr>
        <w:t xml:space="preserve">every assessment compounds a benchmark dataset competitors cannot copy.</w:t>
      </w:r>
    </w:p>
    <w:p>
      <w:pPr>
        <w:pStyle w:val="ListParagraph"/>
        <w:numPr>
          <w:ilvl w:val="0"/>
          <w:numId w:val="2"/>
        </w:numPr>
        <w:spacing w:after="30"/>
      </w:pPr>
      <w:r>
        <w:rPr>
          <w:rFonts w:ascii="Arial" w:cs="Arial" w:eastAsia="Arial" w:hAnsi="Arial"/>
          <w:b/>
          <w:bCs/>
          <w:color w:val="000000"/>
          <w:sz w:val="19"/>
          <w:szCs w:val="19"/>
        </w:rPr>
        <w:t xml:space="preserve">IP — </w:t>
      </w:r>
      <w:r>
        <w:rPr>
          <w:rFonts w:ascii="Arial" w:cs="Arial" w:eastAsia="Arial" w:hAnsi="Arial"/>
          <w:color w:val="000000"/>
          <w:sz w:val="19"/>
          <w:szCs w:val="19"/>
        </w:rPr>
        <w:t xml:space="preserve">5 patents filed, including the Shadow AI Discovery Engine.</w:t>
      </w:r>
    </w:p>
    <w:p>
      <w:pPr>
        <w:pStyle w:val="ListParagraph"/>
        <w:numPr>
          <w:ilvl w:val="0"/>
          <w:numId w:val="2"/>
        </w:numPr>
        <w:spacing w:after="30"/>
      </w:pPr>
      <w:r>
        <w:rPr>
          <w:rFonts w:ascii="Arial" w:cs="Arial" w:eastAsia="Arial" w:hAnsi="Arial"/>
          <w:b/>
          <w:bCs/>
          <w:color w:val="000000"/>
          <w:sz w:val="19"/>
          <w:szCs w:val="19"/>
        </w:rPr>
        <w:t xml:space="preserve">Speed — </w:t>
      </w:r>
      <w:r>
        <w:rPr>
          <w:rFonts w:ascii="Arial" w:cs="Arial" w:eastAsia="Arial" w:hAnsi="Arial"/>
          <w:color w:val="000000"/>
          <w:sz w:val="19"/>
          <w:szCs w:val="19"/>
        </w:rPr>
        <w:t xml:space="preserve">48-hour regulatory update velocity turns every rule change into an upsell.</w:t>
      </w:r>
    </w:p>
    <w:p>
      <w:pPr>
        <w:pStyle w:val="ListParagraph"/>
        <w:numPr>
          <w:ilvl w:val="0"/>
          <w:numId w:val="2"/>
        </w:numPr>
        <w:spacing w:after="30"/>
      </w:pPr>
      <w:r>
        <w:rPr>
          <w:rFonts w:ascii="Arial" w:cs="Arial" w:eastAsia="Arial" w:hAnsi="Arial"/>
          <w:b/>
          <w:bCs/>
          <w:color w:val="000000"/>
          <w:sz w:val="19"/>
          <w:szCs w:val="19"/>
        </w:rPr>
        <w:t xml:space="preserve">Unified layer — </w:t>
      </w:r>
      <w:r>
        <w:rPr>
          <w:rFonts w:ascii="Arial" w:cs="Arial" w:eastAsia="Arial" w:hAnsi="Arial"/>
          <w:color w:val="000000"/>
          <w:sz w:val="19"/>
          <w:szCs w:val="19"/>
        </w:rPr>
        <w:t xml:space="preserve">governance-only players (Credo AI, Arthur, Holistic AI) don't automate compliance; we unify both.</w:t>
      </w:r>
    </w:p>
    <w:p>
      <w:pPr>
        <w:pStyle w:val="Heading1"/>
        <w:spacing w:after="40" w:before="300"/>
      </w:pPr>
      <w:r>
        <w:rPr>
          <w:rFonts w:ascii="Arial" w:cs="Arial" w:eastAsia="Arial" w:hAnsi="Arial"/>
          <w:b/>
          <w:bCs/>
          <w:color w:val="000000"/>
          <w:sz w:val="24"/>
          <w:szCs w:val="24"/>
        </w:rPr>
        <w:t xml:space="preserve">15  </w:t>
      </w:r>
      <w:r>
        <w:rPr>
          <w:rFonts w:ascii="Arial" w:cs="Arial" w:eastAsia="Arial" w:hAnsi="Arial"/>
          <w:b/>
          <w:bCs/>
          <w:color w:val="000000"/>
          <w:sz w:val="24"/>
          <w:szCs w:val="24"/>
        </w:rPr>
        <w:t xml:space="preserve">TEAM</w:t>
      </w:r>
    </w:p>
    <w:p>
      <w:pPr>
        <w:pBdr>
          <w:bottom w:val="single" w:color="000000" w:sz="6" w:space="1"/>
        </w:pBdr>
        <w:spacing w:after="150" w:before="40"/>
      </w:pPr>
      <w:r>
        <w:rPr>
          <w:rFonts w:ascii="Arial" w:cs="Arial" w:eastAsia="Arial" w:hAnsi="Arial"/>
        </w:rPr>
        <w:t xml:space="preserve"/>
      </w:r>
    </w:p>
    <w:p>
      <w:pPr>
        <w:spacing w:after="130"/>
      </w:pPr>
      <w:r>
        <w:rPr>
          <w:rFonts w:ascii="Arial" w:cs="Arial" w:eastAsia="Arial" w:hAnsi="Arial"/>
          <w:i/>
          <w:iCs/>
          <w:color w:val="555555"/>
          <w:sz w:val="20"/>
          <w:szCs w:val="20"/>
        </w:rPr>
        <w:t xml:space="preserve">A product-first founding team with enterprise depth and a dedicated growth engine.</w:t>
      </w:r>
    </w:p>
    <w:p>
      <w:pPr>
        <w:pStyle w:val="ListParagraph"/>
        <w:numPr>
          <w:ilvl w:val="0"/>
          <w:numId w:val="2"/>
        </w:numPr>
        <w:spacing w:after="30"/>
      </w:pPr>
      <w:r>
        <w:rPr>
          <w:rFonts w:ascii="Arial" w:cs="Arial" w:eastAsia="Arial" w:hAnsi="Arial"/>
          <w:b/>
          <w:bCs/>
          <w:color w:val="000000"/>
          <w:sz w:val="19"/>
          <w:szCs w:val="19"/>
        </w:rPr>
        <w:t xml:space="preserve">Adarsh Sharma — </w:t>
      </w:r>
      <w:r>
        <w:rPr>
          <w:rFonts w:ascii="Arial" w:cs="Arial" w:eastAsia="Arial" w:hAnsi="Arial"/>
          <w:color w:val="000000"/>
          <w:sz w:val="19"/>
          <w:szCs w:val="19"/>
        </w:rPr>
        <w:t xml:space="preserve">Founder &amp; CEO; the founding insight originated at Databricks.</w:t>
      </w:r>
    </w:p>
    <w:p>
      <w:pPr>
        <w:pStyle w:val="ListParagraph"/>
        <w:numPr>
          <w:ilvl w:val="0"/>
          <w:numId w:val="2"/>
        </w:numPr>
        <w:spacing w:after="30"/>
      </w:pPr>
      <w:r>
        <w:rPr>
          <w:rFonts w:ascii="Arial" w:cs="Arial" w:eastAsia="Arial" w:hAnsi="Arial"/>
          <w:b/>
          <w:bCs/>
          <w:color w:val="000000"/>
          <w:sz w:val="19"/>
          <w:szCs w:val="19"/>
        </w:rPr>
        <w:t xml:space="preserve">Saransh Jha — </w:t>
      </w:r>
      <w:r>
        <w:rPr>
          <w:rFonts w:ascii="Arial" w:cs="Arial" w:eastAsia="Arial" w:hAnsi="Arial"/>
          <w:color w:val="000000"/>
          <w:sz w:val="19"/>
          <w:szCs w:val="19"/>
        </w:rPr>
        <w:t xml:space="preserve">Co-founder, COO &amp; CFO; 12 years of enterprise operations experience.</w:t>
      </w:r>
    </w:p>
    <w:p>
      <w:pPr>
        <w:pStyle w:val="ListParagraph"/>
        <w:numPr>
          <w:ilvl w:val="0"/>
          <w:numId w:val="2"/>
        </w:numPr>
        <w:spacing w:after="30"/>
      </w:pPr>
      <w:r>
        <w:rPr>
          <w:rFonts w:ascii="Arial" w:cs="Arial" w:eastAsia="Arial" w:hAnsi="Arial"/>
          <w:b/>
          <w:bCs/>
          <w:color w:val="000000"/>
          <w:sz w:val="19"/>
          <w:szCs w:val="19"/>
        </w:rPr>
        <w:t xml:space="preserve">Rudra — </w:t>
      </w:r>
      <w:r>
        <w:rPr>
          <w:rFonts w:ascii="Arial" w:cs="Arial" w:eastAsia="Arial" w:hAnsi="Arial"/>
          <w:color w:val="000000"/>
          <w:sz w:val="19"/>
          <w:szCs w:val="19"/>
        </w:rPr>
        <w:t xml:space="preserve">CMO, leading marketing and growth via the Cosmo Advisory partnership.</w:t>
      </w:r>
    </w:p>
    <w:p>
      <w:pPr>
        <w:pStyle w:val="ListParagraph"/>
        <w:numPr>
          <w:ilvl w:val="0"/>
          <w:numId w:val="2"/>
        </w:numPr>
        <w:spacing w:after="30"/>
      </w:pPr>
      <w:r>
        <w:rPr>
          <w:rFonts w:ascii="Arial" w:cs="Arial" w:eastAsia="Arial" w:hAnsi="Arial"/>
          <w:b/>
          <w:bCs/>
          <w:color w:val="000000"/>
          <w:sz w:val="19"/>
          <w:szCs w:val="19"/>
        </w:rPr>
        <w:t xml:space="preserve">Om Panigrahi — </w:t>
      </w:r>
      <w:r>
        <w:rPr>
          <w:rFonts w:ascii="Arial" w:cs="Arial" w:eastAsia="Arial" w:hAnsi="Arial"/>
          <w:color w:val="000000"/>
          <w:sz w:val="19"/>
          <w:szCs w:val="19"/>
        </w:rPr>
        <w:t xml:space="preserve">Growth Manager, reporting to the CEO, leading the dedicated growth team.</w:t>
      </w:r>
    </w:p>
    <w:p>
      <w:pPr>
        <w:spacing w:after="100"/>
      </w:pPr>
      <w:r>
        <w:rPr>
          <w:rFonts w:ascii="Arial" w:cs="Arial" w:eastAsia="Arial" w:hAnsi="Arial"/>
          <w:color w:val="000000"/>
          <w:sz w:val="19"/>
          <w:szCs w:val="19"/>
        </w:rPr>
        <w:t xml:space="preserve">Growth is powered by an exclusive partnership with Cosmo Advisory, which dedicates a 10–12 person team to CompliVibe under a performance-based structure.</w:t>
      </w:r>
    </w:p>
    <w:p>
      <w:pPr>
        <w:pageBreakBefore/>
      </w:pPr>
    </w:p>
    <w:p>
      <w:pPr>
        <w:pStyle w:val="Heading1"/>
        <w:spacing w:after="40" w:before="300"/>
      </w:pPr>
      <w:r>
        <w:rPr>
          <w:rFonts w:ascii="Arial" w:cs="Arial" w:eastAsia="Arial" w:hAnsi="Arial"/>
          <w:b/>
          <w:bCs/>
          <w:color w:val="000000"/>
          <w:sz w:val="24"/>
          <w:szCs w:val="24"/>
        </w:rPr>
        <w:t xml:space="preserve">16  </w:t>
      </w:r>
      <w:r>
        <w:rPr>
          <w:rFonts w:ascii="Arial" w:cs="Arial" w:eastAsia="Arial" w:hAnsi="Arial"/>
          <w:b/>
          <w:bCs/>
          <w:color w:val="000000"/>
          <w:sz w:val="24"/>
          <w:szCs w:val="24"/>
        </w:rPr>
        <w:t xml:space="preserve">THE ASK &amp; NEXT STEPS</w:t>
      </w:r>
    </w:p>
    <w:p>
      <w:pPr>
        <w:pBdr>
          <w:bottom w:val="single" w:color="000000" w:sz="6" w:space="1"/>
        </w:pBdr>
        <w:spacing w:after="150" w:before="40"/>
      </w:pPr>
      <w:r>
        <w:rPr>
          <w:rFonts w:ascii="Arial" w:cs="Arial" w:eastAsia="Arial" w:hAnsi="Arial"/>
        </w:rPr>
        <w:t xml:space="preserve"/>
      </w:r>
    </w:p>
    <w:p>
      <w:pPr>
        <w:spacing w:after="130"/>
      </w:pPr>
      <w:r>
        <w:rPr>
          <w:rFonts w:ascii="Arial" w:cs="Arial" w:eastAsia="Arial" w:hAnsi="Arial"/>
          <w:i/>
          <w:iCs/>
          <w:color w:val="555555"/>
          <w:sz w:val="20"/>
          <w:szCs w:val="20"/>
        </w:rPr>
        <w:t xml:space="preserve">Fuel to reach the proof point — repeatable pipeline and rising margin.</w:t>
      </w:r>
    </w:p>
    <w:p>
      <w:pPr>
        <w:spacing w:after="100"/>
      </w:pPr>
      <w:r>
        <w:rPr>
          <w:rFonts w:ascii="Arial" w:cs="Arial" w:eastAsia="Arial" w:hAnsi="Arial"/>
          <w:color w:val="000000"/>
          <w:sz w:val="19"/>
          <w:szCs w:val="19"/>
        </w:rPr>
        <w:t xml:space="preserve">CompliVibe is raising a pre-seed round to accelerate go-to-market and automate the regulatory-update engine — the highest-leverage action in the model. Capital takes the company to the Phase 2 proof point: a repeatable global pipeline and gross margin trending toward target, ahead of the EU AI Act forcing function.</w:t>
      </w:r>
    </w:p>
    <w:p>
      <w:pPr>
        <w:spacing w:after="100" w:before="50"/>
      </w:pPr>
      <w:r>
        <w:rPr>
          <w:rFonts w:ascii="Arial" w:cs="Arial" w:eastAsia="Arial" w:hAnsi="Arial"/>
          <w:i/>
          <w:iCs/>
          <w:color w:val="999999"/>
          <w:sz w:val="16"/>
          <w:szCs w:val="16"/>
        </w:rPr>
        <w:t xml:space="preserve">Round terms and the current data room are available on request at dataroom.complivibe.in.</w:t>
      </w:r>
    </w:p>
    <w:p>
      <w:pPr>
        <w:pBdr>
          <w:top w:val="single" w:color="000000" w:sz="6" w:space="6"/>
        </w:pBdr>
        <w:spacing w:before="200"/>
      </w:pPr>
      <w:r>
        <w:rPr>
          <w:rFonts w:ascii="Arial" w:cs="Arial" w:eastAsia="Arial" w:hAnsi="Arial"/>
          <w:b/>
          <w:bCs/>
          <w:color w:val="000000"/>
          <w:sz w:val="20"/>
          <w:szCs w:val="20"/>
        </w:rPr>
        <w:t xml:space="preserve">We are not building a compliance tool. We are building the trust layer for the AI era —</w:t>
      </w:r>
    </w:p>
    <w:p>
      <w:pPr>
        <w:spacing w:after="200"/>
      </w:pPr>
      <w:r>
        <w:rPr>
          <w:rFonts w:ascii="Arial" w:cs="Arial" w:eastAsia="Arial" w:hAnsi="Arial"/>
          <w:b/>
          <w:bCs/>
          <w:color w:val="000000"/>
          <w:sz w:val="20"/>
          <w:szCs w:val="20"/>
        </w:rPr>
        <w:t xml:space="preserve">global from day one, and inevitable as AI becomes foundational to every company on Earth.</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2" w:space="4"/>
      </w:pBdr>
      <w:jc w:val="center"/>
    </w:pPr>
    <w:r>
      <w:rPr>
        <w:rFonts w:ascii="Arial" w:cs="Arial" w:eastAsia="Arial" w:hAnsi="Arial"/>
        <w:color w:val="999999"/>
        <w:sz w:val="14"/>
        <w:szCs w:val="14"/>
      </w:rPr>
      <w:t xml:space="preserve">Confidential   ·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2" w:space="4"/>
      </w:pBdr>
      <w:tabs>
        <w:tab w:val="right" w:pos="9026"/>
      </w:tabs>
    </w:pPr>
    <w:r>
      <w:rPr>
        <w:rFonts w:ascii="Arial" w:cs="Arial" w:eastAsia="Arial" w:hAnsi="Arial"/>
        <w:b/>
        <w:bCs/>
        <w:color w:val="999999"/>
        <w:spacing w:val="30"/>
        <w:sz w:val="14"/>
        <w:szCs w:val="14"/>
      </w:rPr>
      <w:t xml:space="preserve">COMPLIVIBE</w:t>
    </w:r>
    <w:r>
      <w:rPr>
        <w:rFonts w:ascii="Arial" w:cs="Arial" w:eastAsia="Arial" w:hAnsi="Arial"/>
        <w:color w:val="999999"/>
        <w:spacing w:val="20"/>
        <w:sz w:val="14"/>
        <w:szCs w:val="14"/>
      </w:rPr>
      <w:t xml:space="preserve">	COMPANY &amp; PRODUCT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CompliVibe — Company &amp; Product Report</dc:title>
  <dc:creator>CompliVibe</dc:creator>
  <cp:lastModifiedBy>Un-named</cp:lastModifiedBy>
  <cp:revision>1</cp:revision>
  <dcterms:created xsi:type="dcterms:W3CDTF">2026-07-19T14:56:35.642Z</dcterms:created>
  <dcterms:modified xsi:type="dcterms:W3CDTF">2026-07-19T14:56:35.653Z</dcterms:modified>
</cp:coreProperties>
</file>

<file path=docProps/custom.xml><?xml version="1.0" encoding="utf-8"?>
<Properties xmlns="http://schemas.openxmlformats.org/officeDocument/2006/custom-properties" xmlns:vt="http://schemas.openxmlformats.org/officeDocument/2006/docPropsVTypes"/>
</file>