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A2" w:rsidRPr="008C468E" w:rsidRDefault="002C04A2">
      <w:pPr>
        <w:rPr>
          <w:rFonts w:ascii="Cambria" w:hAnsi="Cambria"/>
          <w:b/>
        </w:rPr>
      </w:pPr>
      <w:r w:rsidRPr="008C468E">
        <w:rPr>
          <w:rFonts w:ascii="Cambria" w:hAnsi="Cambria"/>
          <w:b/>
        </w:rPr>
        <w:t>Short term reversals – weekly analysis</w:t>
      </w:r>
    </w:p>
    <w:p w:rsidR="002C04A2" w:rsidRPr="008550B1" w:rsidRDefault="002C04A2">
      <w:pPr>
        <w:rPr>
          <w:rFonts w:ascii="Cambria" w:hAnsi="Cambria"/>
        </w:rPr>
      </w:pPr>
    </w:p>
    <w:p w:rsidR="005D6CE1" w:rsidRPr="008550B1" w:rsidRDefault="0002072A">
      <w:pPr>
        <w:rPr>
          <w:rFonts w:ascii="Cambria" w:hAnsi="Cambria"/>
        </w:rPr>
      </w:pPr>
      <w:r w:rsidRPr="008550B1">
        <w:rPr>
          <w:rFonts w:ascii="Cambria" w:hAnsi="Cambria"/>
        </w:rPr>
        <w:t>Step 1:</w:t>
      </w:r>
      <w:r w:rsidR="00990FFA" w:rsidRPr="008550B1">
        <w:rPr>
          <w:rFonts w:ascii="Cambria" w:hAnsi="Cambria"/>
        </w:rPr>
        <w:t xml:space="preserve"> </w:t>
      </w:r>
      <w:r w:rsidR="005D6CE1" w:rsidRPr="008550B1">
        <w:rPr>
          <w:rFonts w:ascii="Cambria" w:hAnsi="Cambria"/>
        </w:rPr>
        <w:t>Calculation of real-time drawdowns:</w:t>
      </w:r>
    </w:p>
    <w:p w:rsidR="005568B0" w:rsidRPr="008550B1" w:rsidRDefault="00990FFA">
      <w:pPr>
        <w:rPr>
          <w:rFonts w:ascii="Cambria" w:hAnsi="Cambria"/>
        </w:rPr>
      </w:pPr>
      <w:r w:rsidRPr="008550B1">
        <w:rPr>
          <w:rFonts w:ascii="Cambria" w:hAnsi="Cambria"/>
        </w:rPr>
        <w:t>Let</w:t>
      </w:r>
      <w:r w:rsidR="000652BE" w:rsidRPr="008550B1">
        <w:rPr>
          <w:rFonts w:ascii="Cambria" w:hAnsi="Cambria"/>
        </w:rPr>
        <w:t>’</w:t>
      </w:r>
      <w:r w:rsidRPr="008550B1">
        <w:rPr>
          <w:rFonts w:ascii="Cambria" w:hAnsi="Cambria"/>
        </w:rPr>
        <w:t xml:space="preserve">s take the price on Day 1 as peak and trough. On every Wednesday, we check the prices for the past one week (till last Thursday). If the highest price </w:t>
      </w:r>
      <w:r w:rsidR="000652BE" w:rsidRPr="008550B1">
        <w:rPr>
          <w:rFonts w:ascii="Cambria" w:hAnsi="Cambria"/>
        </w:rPr>
        <w:t xml:space="preserve">(say on Day t) </w:t>
      </w:r>
      <w:r w:rsidRPr="008550B1">
        <w:rPr>
          <w:rFonts w:ascii="Cambria" w:hAnsi="Cambria"/>
        </w:rPr>
        <w:t xml:space="preserve">is greater than the previous peak, it is set as the new peak and drawdowns are calculated with this as the benchmark. </w:t>
      </w:r>
      <w:r w:rsidR="000652BE" w:rsidRPr="008550B1">
        <w:rPr>
          <w:rFonts w:ascii="Cambria" w:hAnsi="Cambria"/>
        </w:rPr>
        <w:t>Next, we check for trough from Day t+1 to Wednesday. If it is lower than the previous trough, it is set as the candidate trough.</w:t>
      </w:r>
      <w:r w:rsidR="004C2F94" w:rsidRPr="008550B1">
        <w:rPr>
          <w:rFonts w:ascii="Cambria" w:hAnsi="Cambria"/>
        </w:rPr>
        <w:t xml:space="preserve"> </w:t>
      </w:r>
      <w:r w:rsidR="00986A18" w:rsidRPr="008550B1">
        <w:rPr>
          <w:rFonts w:ascii="Cambria" w:hAnsi="Cambria"/>
        </w:rPr>
        <w:t>If t</w:t>
      </w:r>
      <w:r w:rsidR="004C2F94" w:rsidRPr="008550B1">
        <w:rPr>
          <w:rFonts w:ascii="Cambria" w:hAnsi="Cambria"/>
        </w:rPr>
        <w:t>he</w:t>
      </w:r>
      <w:r w:rsidR="00986A18" w:rsidRPr="008550B1">
        <w:rPr>
          <w:rFonts w:ascii="Cambria" w:hAnsi="Cambria"/>
        </w:rPr>
        <w:t xml:space="preserve"> candidate trough repeats (we have done two </w:t>
      </w:r>
      <w:bookmarkStart w:id="0" w:name="_GoBack"/>
      <w:bookmarkEnd w:id="0"/>
      <w:r w:rsidR="00986A18" w:rsidRPr="008550B1">
        <w:rPr>
          <w:rFonts w:ascii="Cambria" w:hAnsi="Cambria"/>
        </w:rPr>
        <w:t>analyses: repeating twice &amp; thrice), then</w:t>
      </w:r>
      <w:r w:rsidR="004C2F94" w:rsidRPr="008550B1">
        <w:rPr>
          <w:rFonts w:ascii="Cambria" w:hAnsi="Cambria"/>
        </w:rPr>
        <w:t xml:space="preserve"> drawdowns are calculated with this price as benchmark.</w:t>
      </w:r>
    </w:p>
    <w:p w:rsidR="00986A18" w:rsidRPr="008550B1" w:rsidRDefault="0060040F">
      <w:pPr>
        <w:rPr>
          <w:rFonts w:ascii="Cambria" w:hAnsi="Cambria"/>
        </w:rPr>
      </w:pPr>
      <w:r w:rsidRPr="008550B1">
        <w:rPr>
          <w:rFonts w:ascii="Cambria" w:hAnsi="Cambria"/>
        </w:rPr>
        <w:t xml:space="preserve">Below is the example of real-time drawdown calculation for candidate trough repeating </w:t>
      </w:r>
      <w:proofErr w:type="gramStart"/>
      <w:r w:rsidRPr="008550B1">
        <w:rPr>
          <w:rFonts w:ascii="Cambria" w:hAnsi="Cambria"/>
        </w:rPr>
        <w:t>twice</w:t>
      </w:r>
      <w:proofErr w:type="gramEnd"/>
    </w:p>
    <w:tbl>
      <w:tblPr>
        <w:tblW w:w="8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1236"/>
        <w:gridCol w:w="1564"/>
        <w:gridCol w:w="1574"/>
        <w:gridCol w:w="1407"/>
        <w:gridCol w:w="1800"/>
      </w:tblGrid>
      <w:tr w:rsidR="00D65C98" w:rsidRPr="008550B1" w:rsidTr="00D65C98">
        <w:trPr>
          <w:trHeight w:val="300"/>
        </w:trPr>
        <w:tc>
          <w:tcPr>
            <w:tcW w:w="1167" w:type="dxa"/>
            <w:shd w:val="clear" w:color="5B9BD5" w:fill="5B9BD5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D65C98">
              <w:rPr>
                <w:rFonts w:ascii="Cambria" w:eastAsia="Times New Roman" w:hAnsi="Cambria" w:cs="Calibri"/>
                <w:b/>
                <w:bCs/>
                <w:color w:val="FFFFFF"/>
              </w:rPr>
              <w:t>Date</w:t>
            </w:r>
          </w:p>
        </w:tc>
        <w:tc>
          <w:tcPr>
            <w:tcW w:w="1164" w:type="dxa"/>
            <w:shd w:val="clear" w:color="5B9BD5" w:fill="5B9BD5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D65C98">
              <w:rPr>
                <w:rFonts w:ascii="Cambria" w:eastAsia="Times New Roman" w:hAnsi="Cambria" w:cs="Calibri"/>
                <w:b/>
                <w:bCs/>
                <w:color w:val="FFFFFF"/>
              </w:rPr>
              <w:t>PRC</w:t>
            </w:r>
          </w:p>
        </w:tc>
        <w:tc>
          <w:tcPr>
            <w:tcW w:w="1564" w:type="dxa"/>
            <w:shd w:val="clear" w:color="5B9BD5" w:fill="5B9BD5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proofErr w:type="spellStart"/>
            <w:r w:rsidRPr="00D65C98">
              <w:rPr>
                <w:rFonts w:ascii="Cambria" w:eastAsia="Times New Roman" w:hAnsi="Cambria" w:cs="Calibri"/>
                <w:b/>
                <w:bCs/>
                <w:color w:val="FFFFFF"/>
              </w:rPr>
              <w:t>log_returns</w:t>
            </w:r>
            <w:proofErr w:type="spellEnd"/>
          </w:p>
        </w:tc>
        <w:tc>
          <w:tcPr>
            <w:tcW w:w="1574" w:type="dxa"/>
            <w:shd w:val="clear" w:color="5B9BD5" w:fill="5B9BD5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D65C98">
              <w:rPr>
                <w:rFonts w:ascii="Cambria" w:eastAsia="Times New Roman" w:hAnsi="Cambria" w:cs="Calibri"/>
                <w:b/>
                <w:bCs/>
                <w:color w:val="FFFFFF"/>
              </w:rPr>
              <w:t>PPDD</w:t>
            </w:r>
          </w:p>
        </w:tc>
        <w:tc>
          <w:tcPr>
            <w:tcW w:w="1278" w:type="dxa"/>
            <w:shd w:val="clear" w:color="5B9BD5" w:fill="5B9BD5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D65C98">
              <w:rPr>
                <w:rFonts w:ascii="Cambria" w:eastAsia="Times New Roman" w:hAnsi="Cambria" w:cs="Calibri"/>
                <w:b/>
                <w:bCs/>
                <w:color w:val="FFFFFF"/>
              </w:rPr>
              <w:t>CDT</w:t>
            </w:r>
          </w:p>
        </w:tc>
        <w:tc>
          <w:tcPr>
            <w:tcW w:w="1800" w:type="dxa"/>
            <w:shd w:val="clear" w:color="5B9BD5" w:fill="5B9BD5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D65C98">
              <w:rPr>
                <w:rFonts w:ascii="Cambria" w:eastAsia="Times New Roman" w:hAnsi="Cambria" w:cs="Calibri"/>
                <w:b/>
                <w:bCs/>
                <w:color w:val="FFFFFF"/>
              </w:rPr>
              <w:t>DD</w:t>
            </w:r>
          </w:p>
        </w:tc>
      </w:tr>
      <w:tr w:rsidR="00D65C98" w:rsidRPr="008550B1" w:rsidTr="00D65C98">
        <w:trPr>
          <w:trHeight w:val="300"/>
        </w:trPr>
        <w:tc>
          <w:tcPr>
            <w:tcW w:w="1167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1/11/1950</w:t>
            </w:r>
          </w:p>
        </w:tc>
        <w:tc>
          <w:tcPr>
            <w:tcW w:w="11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17.09</w:t>
            </w:r>
          </w:p>
        </w:tc>
        <w:tc>
          <w:tcPr>
            <w:tcW w:w="15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57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</w:t>
            </w:r>
          </w:p>
        </w:tc>
        <w:tc>
          <w:tcPr>
            <w:tcW w:w="1278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</w:t>
            </w:r>
          </w:p>
        </w:tc>
      </w:tr>
      <w:tr w:rsidR="008550B1" w:rsidRPr="00D65C98" w:rsidTr="00D65C98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1/12/1950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16.76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-0.019498402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-0.019498402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-0.019498402</w:t>
            </w:r>
          </w:p>
        </w:tc>
      </w:tr>
      <w:tr w:rsidR="00D65C98" w:rsidRPr="008550B1" w:rsidTr="00D65C98">
        <w:trPr>
          <w:trHeight w:val="300"/>
        </w:trPr>
        <w:tc>
          <w:tcPr>
            <w:tcW w:w="1167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1/13/1950</w:t>
            </w:r>
          </w:p>
        </w:tc>
        <w:tc>
          <w:tcPr>
            <w:tcW w:w="11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16.67</w:t>
            </w:r>
          </w:p>
        </w:tc>
        <w:tc>
          <w:tcPr>
            <w:tcW w:w="15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-0.005384398</w:t>
            </w:r>
          </w:p>
        </w:tc>
        <w:tc>
          <w:tcPr>
            <w:tcW w:w="157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-0.0248828</w:t>
            </w:r>
          </w:p>
        </w:tc>
        <w:tc>
          <w:tcPr>
            <w:tcW w:w="1278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</w:t>
            </w:r>
          </w:p>
        </w:tc>
      </w:tr>
      <w:tr w:rsidR="008550B1" w:rsidRPr="00D65C98" w:rsidTr="00D65C98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1/16/1950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16.719999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0.002994851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-0.021887949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0.002994851</w:t>
            </w:r>
          </w:p>
        </w:tc>
      </w:tr>
      <w:tr w:rsidR="00D65C98" w:rsidRPr="008550B1" w:rsidTr="00D65C98">
        <w:trPr>
          <w:trHeight w:val="300"/>
        </w:trPr>
        <w:tc>
          <w:tcPr>
            <w:tcW w:w="1167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1/17/1950</w:t>
            </w:r>
          </w:p>
        </w:tc>
        <w:tc>
          <w:tcPr>
            <w:tcW w:w="11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16.860001</w:t>
            </w:r>
          </w:p>
        </w:tc>
        <w:tc>
          <w:tcPr>
            <w:tcW w:w="15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0.008338464</w:t>
            </w:r>
          </w:p>
        </w:tc>
        <w:tc>
          <w:tcPr>
            <w:tcW w:w="157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-0.013549485</w:t>
            </w:r>
          </w:p>
        </w:tc>
        <w:tc>
          <w:tcPr>
            <w:tcW w:w="1278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0.011333315</w:t>
            </w:r>
          </w:p>
        </w:tc>
      </w:tr>
      <w:tr w:rsidR="008550B1" w:rsidRPr="00D65C98" w:rsidTr="00D65C98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1/18/1950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16.85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-0.000593355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-0.01414284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13/01/1950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0.01073996</w:t>
            </w:r>
          </w:p>
        </w:tc>
      </w:tr>
      <w:tr w:rsidR="00D65C98" w:rsidRPr="008550B1" w:rsidTr="00D65C98">
        <w:trPr>
          <w:trHeight w:val="300"/>
        </w:trPr>
        <w:tc>
          <w:tcPr>
            <w:tcW w:w="1167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1/19/1950</w:t>
            </w:r>
          </w:p>
        </w:tc>
        <w:tc>
          <w:tcPr>
            <w:tcW w:w="11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16.870001</w:t>
            </w:r>
          </w:p>
        </w:tc>
        <w:tc>
          <w:tcPr>
            <w:tcW w:w="15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0.001186299</w:t>
            </w:r>
          </w:p>
        </w:tc>
        <w:tc>
          <w:tcPr>
            <w:tcW w:w="157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-0.012956541</w:t>
            </w:r>
          </w:p>
        </w:tc>
        <w:tc>
          <w:tcPr>
            <w:tcW w:w="1278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0.011926259</w:t>
            </w:r>
          </w:p>
        </w:tc>
      </w:tr>
      <w:tr w:rsidR="008550B1" w:rsidRPr="00D65C98" w:rsidTr="00D65C98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1/20/1950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16.9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0.001776666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-0.011179875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0.013702925</w:t>
            </w:r>
          </w:p>
        </w:tc>
      </w:tr>
      <w:tr w:rsidR="00D65C98" w:rsidRPr="008550B1" w:rsidTr="00D65C98">
        <w:trPr>
          <w:trHeight w:val="300"/>
        </w:trPr>
        <w:tc>
          <w:tcPr>
            <w:tcW w:w="1167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1/23/1950</w:t>
            </w:r>
          </w:p>
        </w:tc>
        <w:tc>
          <w:tcPr>
            <w:tcW w:w="11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16.92</w:t>
            </w:r>
          </w:p>
        </w:tc>
        <w:tc>
          <w:tcPr>
            <w:tcW w:w="15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0.001182732</w:t>
            </w:r>
          </w:p>
        </w:tc>
        <w:tc>
          <w:tcPr>
            <w:tcW w:w="157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-0.009997143</w:t>
            </w:r>
          </w:p>
        </w:tc>
        <w:tc>
          <w:tcPr>
            <w:tcW w:w="1278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0.014885657</w:t>
            </w:r>
          </w:p>
        </w:tc>
      </w:tr>
      <w:tr w:rsidR="008550B1" w:rsidRPr="00D65C98" w:rsidTr="00D65C98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1/24/1950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16.860001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-0.003552342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-0.013549485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0.011333315</w:t>
            </w:r>
          </w:p>
        </w:tc>
      </w:tr>
      <w:tr w:rsidR="00D65C98" w:rsidRPr="008550B1" w:rsidTr="00D65C98">
        <w:trPr>
          <w:trHeight w:val="300"/>
        </w:trPr>
        <w:tc>
          <w:tcPr>
            <w:tcW w:w="1167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1/25/1950</w:t>
            </w:r>
          </w:p>
        </w:tc>
        <w:tc>
          <w:tcPr>
            <w:tcW w:w="11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16.74</w:t>
            </w:r>
          </w:p>
        </w:tc>
        <w:tc>
          <w:tcPr>
            <w:tcW w:w="156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-0.007142947</w:t>
            </w:r>
          </w:p>
        </w:tc>
        <w:tc>
          <w:tcPr>
            <w:tcW w:w="1574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-0.020692432</w:t>
            </w:r>
          </w:p>
        </w:tc>
        <w:tc>
          <w:tcPr>
            <w:tcW w:w="1278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13/01/1950</w:t>
            </w:r>
          </w:p>
        </w:tc>
        <w:tc>
          <w:tcPr>
            <w:tcW w:w="1800" w:type="dxa"/>
            <w:shd w:val="clear" w:color="DDEBF7" w:fill="DDEBF7"/>
            <w:noWrap/>
            <w:vAlign w:val="bottom"/>
            <w:hideMark/>
          </w:tcPr>
          <w:p w:rsidR="00D65C98" w:rsidRPr="00D65C98" w:rsidRDefault="00D65C98" w:rsidP="00D65C98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D65C98">
              <w:rPr>
                <w:rFonts w:ascii="Cambria" w:eastAsia="Times New Roman" w:hAnsi="Cambria" w:cs="Calibri"/>
                <w:color w:val="000000"/>
              </w:rPr>
              <w:t>0.004190368</w:t>
            </w:r>
          </w:p>
        </w:tc>
      </w:tr>
    </w:tbl>
    <w:p w:rsidR="0060040F" w:rsidRDefault="0060040F">
      <w:pPr>
        <w:rPr>
          <w:rFonts w:ascii="Cambria" w:hAnsi="Cambria"/>
        </w:rPr>
      </w:pPr>
    </w:p>
    <w:p w:rsidR="003A5D49" w:rsidRPr="008550B1" w:rsidRDefault="003A5D49">
      <w:pPr>
        <w:rPr>
          <w:rFonts w:ascii="Cambria" w:hAnsi="Cambria"/>
        </w:rPr>
      </w:pPr>
      <w:r>
        <w:rPr>
          <w:rFonts w:ascii="Cambria" w:hAnsi="Cambria"/>
        </w:rPr>
        <w:t>Abbreviations: PRC-price, PPDD-Peak to peak drawdown, CDT-Candidate trough, DD-</w:t>
      </w:r>
      <w:proofErr w:type="spellStart"/>
      <w:r>
        <w:rPr>
          <w:rFonts w:ascii="Cambria" w:hAnsi="Cambria"/>
        </w:rPr>
        <w:t>Realtime</w:t>
      </w:r>
      <w:proofErr w:type="spellEnd"/>
      <w:r>
        <w:rPr>
          <w:rFonts w:ascii="Cambria" w:hAnsi="Cambria"/>
        </w:rPr>
        <w:t xml:space="preserve"> drawdown.</w:t>
      </w:r>
    </w:p>
    <w:p w:rsidR="0002072A" w:rsidRPr="008550B1" w:rsidRDefault="0060040F">
      <w:pPr>
        <w:rPr>
          <w:rFonts w:ascii="Cambria" w:eastAsia="Times New Roman" w:hAnsi="Cambria" w:cs="Calibri"/>
          <w:color w:val="000000"/>
        </w:rPr>
      </w:pPr>
      <w:r w:rsidRPr="008550B1">
        <w:rPr>
          <w:rFonts w:ascii="Cambria" w:eastAsia="Times New Roman" w:hAnsi="Cambria" w:cs="Calibri"/>
          <w:color w:val="000000"/>
        </w:rPr>
        <w:t xml:space="preserve">On </w:t>
      </w:r>
      <w:r w:rsidRPr="0060040F">
        <w:rPr>
          <w:rFonts w:ascii="Cambria" w:eastAsia="Times New Roman" w:hAnsi="Cambria" w:cs="Calibri"/>
          <w:color w:val="000000"/>
        </w:rPr>
        <w:t>1/1</w:t>
      </w:r>
      <w:r w:rsidRPr="008550B1">
        <w:rPr>
          <w:rFonts w:ascii="Cambria" w:eastAsia="Times New Roman" w:hAnsi="Cambria" w:cs="Calibri"/>
          <w:color w:val="000000"/>
        </w:rPr>
        <w:t>8</w:t>
      </w:r>
      <w:r w:rsidRPr="0060040F">
        <w:rPr>
          <w:rFonts w:ascii="Cambria" w:eastAsia="Times New Roman" w:hAnsi="Cambria" w:cs="Calibri"/>
          <w:color w:val="000000"/>
        </w:rPr>
        <w:t>/1950</w:t>
      </w:r>
      <w:r w:rsidRPr="008550B1">
        <w:rPr>
          <w:rFonts w:ascii="Cambria" w:eastAsia="Times New Roman" w:hAnsi="Cambria" w:cs="Calibri"/>
          <w:color w:val="000000"/>
        </w:rPr>
        <w:t xml:space="preserve"> (Wednesday), past one week prices are checked.</w:t>
      </w:r>
      <w:r w:rsidRPr="008550B1">
        <w:rPr>
          <w:rFonts w:ascii="Cambria" w:hAnsi="Cambria"/>
        </w:rPr>
        <w:t xml:space="preserve"> Here, the peak is on </w:t>
      </w:r>
      <w:r w:rsidRPr="0060040F">
        <w:rPr>
          <w:rFonts w:ascii="Cambria" w:eastAsia="Times New Roman" w:hAnsi="Cambria" w:cs="Calibri"/>
          <w:color w:val="000000"/>
        </w:rPr>
        <w:t>1/11/1950</w:t>
      </w:r>
      <w:r w:rsidRPr="008550B1">
        <w:rPr>
          <w:rFonts w:ascii="Cambria" w:eastAsia="Times New Roman" w:hAnsi="Cambria" w:cs="Calibri"/>
          <w:color w:val="000000"/>
        </w:rPr>
        <w:t xml:space="preserve">. So, drawdowns are calculated with 17.09 as benchmark. </w:t>
      </w:r>
      <w:r w:rsidR="00D65C98" w:rsidRPr="008550B1">
        <w:rPr>
          <w:rFonts w:ascii="Cambria" w:eastAsia="Times New Roman" w:hAnsi="Cambria" w:cs="Calibri"/>
          <w:color w:val="000000"/>
        </w:rPr>
        <w:t xml:space="preserve">These numbers can be seen under PPDD (peak-to-peak drawdown) column. </w:t>
      </w:r>
      <w:r w:rsidRPr="008550B1">
        <w:rPr>
          <w:rFonts w:ascii="Cambria" w:eastAsia="Times New Roman" w:hAnsi="Cambria" w:cs="Calibri"/>
          <w:color w:val="000000"/>
        </w:rPr>
        <w:t>The lowest is 16.67 (this is taken as candidate trough).</w:t>
      </w:r>
      <w:r w:rsidR="00D65C98" w:rsidRPr="008550B1">
        <w:rPr>
          <w:rFonts w:ascii="Cambria" w:eastAsia="Times New Roman" w:hAnsi="Cambria" w:cs="Calibri"/>
          <w:color w:val="000000"/>
        </w:rPr>
        <w:t xml:space="preserve"> </w:t>
      </w:r>
    </w:p>
    <w:p w:rsidR="00D65C98" w:rsidRDefault="00D65C98">
      <w:pPr>
        <w:rPr>
          <w:rFonts w:ascii="Cambria" w:eastAsia="Times New Roman" w:hAnsi="Cambria" w:cs="Calibri"/>
          <w:color w:val="000000"/>
        </w:rPr>
      </w:pPr>
      <w:r w:rsidRPr="008550B1">
        <w:rPr>
          <w:rFonts w:ascii="Cambria" w:eastAsia="Times New Roman" w:hAnsi="Cambria" w:cs="Calibri"/>
          <w:color w:val="000000"/>
        </w:rPr>
        <w:t>On 1/25</w:t>
      </w:r>
      <w:r w:rsidRPr="0060040F">
        <w:rPr>
          <w:rFonts w:ascii="Cambria" w:eastAsia="Times New Roman" w:hAnsi="Cambria" w:cs="Calibri"/>
          <w:color w:val="000000"/>
        </w:rPr>
        <w:t>/1950</w:t>
      </w:r>
      <w:r w:rsidRPr="008550B1">
        <w:rPr>
          <w:rFonts w:ascii="Cambria" w:eastAsia="Times New Roman" w:hAnsi="Cambria" w:cs="Calibri"/>
          <w:color w:val="000000"/>
        </w:rPr>
        <w:t xml:space="preserve"> (Wednesday), past one week prices are checked. </w:t>
      </w:r>
      <w:r w:rsidR="00685F00" w:rsidRPr="008550B1">
        <w:rPr>
          <w:rFonts w:ascii="Cambria" w:hAnsi="Cambria"/>
        </w:rPr>
        <w:t xml:space="preserve">The peak is still on </w:t>
      </w:r>
      <w:r w:rsidR="00685F00" w:rsidRPr="0060040F">
        <w:rPr>
          <w:rFonts w:ascii="Cambria" w:eastAsia="Times New Roman" w:hAnsi="Cambria" w:cs="Calibri"/>
          <w:color w:val="000000"/>
        </w:rPr>
        <w:t>1/11/1950</w:t>
      </w:r>
      <w:r w:rsidR="00685F00" w:rsidRPr="008550B1">
        <w:rPr>
          <w:rFonts w:ascii="Cambria" w:eastAsia="Times New Roman" w:hAnsi="Cambria" w:cs="Calibri"/>
          <w:color w:val="000000"/>
        </w:rPr>
        <w:t>. So, drawdowns are calculated with 17.09 as benchmark. Here, the candidate trough repeated twice. Hence, we take 16.67 as benchmark and estimate the drawdowns. The corrected drawdowns (real-time) can be seen under DD column.</w:t>
      </w:r>
    </w:p>
    <w:p w:rsidR="008550B1" w:rsidRDefault="008550B1">
      <w:pPr>
        <w:rPr>
          <w:rFonts w:ascii="Cambria" w:eastAsia="Times New Roman" w:hAnsi="Cambria" w:cs="Calibri"/>
          <w:color w:val="000000"/>
        </w:rPr>
      </w:pPr>
    </w:p>
    <w:p w:rsidR="008C468E" w:rsidRPr="008C468E" w:rsidRDefault="008C468E" w:rsidP="008C468E">
      <w:pPr>
        <w:rPr>
          <w:rFonts w:ascii="Cambria" w:hAnsi="Cambria"/>
        </w:rPr>
      </w:pPr>
      <w:r w:rsidRPr="008C468E">
        <w:rPr>
          <w:rFonts w:ascii="Cambria" w:eastAsia="Times New Roman" w:hAnsi="Cambria" w:cs="Calibri"/>
          <w:color w:val="000000"/>
        </w:rPr>
        <w:t xml:space="preserve">Step 2: </w:t>
      </w:r>
      <w:r>
        <w:rPr>
          <w:rFonts w:ascii="Cambria" w:eastAsia="Times New Roman" w:hAnsi="Cambria" w:cs="Calibri"/>
          <w:color w:val="000000"/>
        </w:rPr>
        <w:t xml:space="preserve">On each Wednesday, </w:t>
      </w:r>
      <w:r>
        <w:rPr>
          <w:rFonts w:ascii="Cambria" w:hAnsi="Cambria"/>
        </w:rPr>
        <w:t>w</w:t>
      </w:r>
      <w:r w:rsidRPr="008C468E">
        <w:rPr>
          <w:rFonts w:ascii="Cambria" w:hAnsi="Cambria"/>
        </w:rPr>
        <w:t>e check for similar drawdowns in the historical data and ca</w:t>
      </w:r>
      <w:r>
        <w:rPr>
          <w:rFonts w:ascii="Cambria" w:hAnsi="Cambria"/>
        </w:rPr>
        <w:t xml:space="preserve">lculate the average cumulative </w:t>
      </w:r>
      <w:r w:rsidRPr="008C468E">
        <w:rPr>
          <w:rFonts w:ascii="Cambria" w:hAnsi="Cambria"/>
        </w:rPr>
        <w:t>return for next 5 trading days.</w:t>
      </w:r>
    </w:p>
    <w:p w:rsidR="008C468E" w:rsidRPr="008C468E" w:rsidRDefault="008C468E" w:rsidP="008C468E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e</w:t>
      </w:r>
      <w:r w:rsidRPr="008C468E">
        <w:rPr>
          <w:rFonts w:ascii="Cambria" w:hAnsi="Cambria"/>
        </w:rPr>
        <w:t>g</w:t>
      </w:r>
      <w:proofErr w:type="spellEnd"/>
      <w:proofErr w:type="gramEnd"/>
      <w:r w:rsidRPr="008C468E">
        <w:rPr>
          <w:rFonts w:ascii="Cambria" w:hAnsi="Cambria"/>
        </w:rPr>
        <w:t xml:space="preserve">. </w:t>
      </w:r>
      <w:proofErr w:type="gramStart"/>
      <w:r w:rsidRPr="008C468E">
        <w:rPr>
          <w:rFonts w:ascii="Cambria" w:hAnsi="Cambria"/>
        </w:rPr>
        <w:t>if</w:t>
      </w:r>
      <w:proofErr w:type="gramEnd"/>
      <w:r w:rsidRPr="008C468E">
        <w:rPr>
          <w:rFonts w:ascii="Cambria" w:hAnsi="Cambria"/>
        </w:rPr>
        <w:t xml:space="preserve"> my drawdown is 0.00419 on </w:t>
      </w:r>
      <w:r w:rsidRPr="008C468E">
        <w:rPr>
          <w:rFonts w:ascii="Cambria" w:eastAsia="Times New Roman" w:hAnsi="Cambria" w:cs="Calibri"/>
          <w:color w:val="000000"/>
        </w:rPr>
        <w:t>1/25</w:t>
      </w:r>
      <w:r w:rsidRPr="0060040F">
        <w:rPr>
          <w:rFonts w:ascii="Cambria" w:eastAsia="Times New Roman" w:hAnsi="Cambria" w:cs="Calibri"/>
          <w:color w:val="000000"/>
        </w:rPr>
        <w:t>/1950</w:t>
      </w:r>
      <w:r w:rsidRPr="008C468E">
        <w:rPr>
          <w:rFonts w:ascii="Cambria" w:hAnsi="Cambria"/>
        </w:rPr>
        <w:t>, I will look for the days with 0.00319 &lt;= drawdowns &lt;= 0.00519  in past data and calculate next 5 days average return.</w:t>
      </w:r>
      <w:r>
        <w:rPr>
          <w:rFonts w:ascii="Cambria" w:hAnsi="Cambria"/>
        </w:rPr>
        <w:t xml:space="preserve"> This is our predicted return for the next one week.</w:t>
      </w:r>
    </w:p>
    <w:p w:rsidR="008341FF" w:rsidRDefault="008C468E" w:rsidP="008C468E">
      <w:pPr>
        <w:rPr>
          <w:rFonts w:ascii="Cambria" w:hAnsi="Cambria"/>
          <w:b/>
        </w:rPr>
      </w:pPr>
      <w:r>
        <w:lastRenderedPageBreak/>
        <w:br w:type="textWrapping" w:clear="all"/>
      </w:r>
    </w:p>
    <w:p w:rsidR="008341FF" w:rsidRDefault="008C468E" w:rsidP="008C468E">
      <w:pPr>
        <w:rPr>
          <w:rFonts w:ascii="Cambria" w:hAnsi="Cambria"/>
          <w:b/>
        </w:rPr>
      </w:pPr>
      <w:r w:rsidRPr="008341FF">
        <w:rPr>
          <w:rFonts w:ascii="Cambria" w:hAnsi="Cambria"/>
          <w:b/>
        </w:rPr>
        <w:t xml:space="preserve">Step 3: </w:t>
      </w:r>
    </w:p>
    <w:p w:rsidR="008C468E" w:rsidRDefault="008341FF" w:rsidP="008C468E">
      <w:pPr>
        <w:rPr>
          <w:rFonts w:ascii="Cambria" w:hAnsi="Cambria"/>
        </w:rPr>
      </w:pPr>
      <w:r w:rsidRPr="008341FF">
        <w:rPr>
          <w:rFonts w:ascii="Cambria" w:hAnsi="Cambria"/>
        </w:rPr>
        <w:t>Unlevered strategy</w:t>
      </w:r>
      <w:r>
        <w:rPr>
          <w:rFonts w:ascii="Cambria" w:hAnsi="Cambria"/>
          <w:b/>
        </w:rPr>
        <w:t xml:space="preserve">: </w:t>
      </w:r>
      <w:r w:rsidR="008C468E" w:rsidRPr="008341FF">
        <w:rPr>
          <w:rFonts w:ascii="Cambria" w:hAnsi="Cambria"/>
        </w:rPr>
        <w:t>If the</w:t>
      </w:r>
      <w:r w:rsidR="008C468E" w:rsidRPr="008341FF">
        <w:rPr>
          <w:rFonts w:ascii="Cambria" w:hAnsi="Cambria"/>
          <w:b/>
        </w:rPr>
        <w:t xml:space="preserve"> </w:t>
      </w:r>
      <w:r w:rsidR="008C468E" w:rsidRPr="008341FF">
        <w:rPr>
          <w:rFonts w:ascii="Cambria" w:hAnsi="Cambria"/>
        </w:rPr>
        <w:t xml:space="preserve">predicted return is positive, we will stay in the market (Return = market return). Else, out of the market (Return = </w:t>
      </w:r>
      <w:proofErr w:type="spellStart"/>
      <w:r>
        <w:rPr>
          <w:rFonts w:ascii="Cambria" w:hAnsi="Cambria"/>
        </w:rPr>
        <w:t>riskfree</w:t>
      </w:r>
      <w:proofErr w:type="spellEnd"/>
      <w:r>
        <w:rPr>
          <w:rFonts w:ascii="Cambria" w:hAnsi="Cambria"/>
        </w:rPr>
        <w:t xml:space="preserve"> return</w:t>
      </w:r>
      <w:r w:rsidR="008C468E" w:rsidRPr="008341FF">
        <w:rPr>
          <w:rFonts w:ascii="Cambria" w:hAnsi="Cambria"/>
        </w:rPr>
        <w:t>).</w:t>
      </w:r>
    </w:p>
    <w:p w:rsidR="008C468E" w:rsidRPr="008341FF" w:rsidRDefault="008341FF">
      <w:pPr>
        <w:rPr>
          <w:rFonts w:ascii="Cambria" w:hAnsi="Cambria"/>
        </w:rPr>
      </w:pPr>
      <w:r>
        <w:rPr>
          <w:rFonts w:ascii="Cambria" w:hAnsi="Cambria"/>
        </w:rPr>
        <w:t>L</w:t>
      </w:r>
      <w:r w:rsidRPr="008341FF">
        <w:rPr>
          <w:rFonts w:ascii="Cambria" w:hAnsi="Cambria"/>
        </w:rPr>
        <w:t>evered strategy</w:t>
      </w:r>
      <w:r>
        <w:rPr>
          <w:rFonts w:ascii="Cambria" w:hAnsi="Cambria"/>
          <w:b/>
        </w:rPr>
        <w:t xml:space="preserve">: </w:t>
      </w:r>
      <w:r w:rsidRPr="008341FF">
        <w:rPr>
          <w:rFonts w:ascii="Cambria" w:hAnsi="Cambria"/>
        </w:rPr>
        <w:t>If the</w:t>
      </w:r>
      <w:r w:rsidRPr="008341FF">
        <w:rPr>
          <w:rFonts w:ascii="Cambria" w:hAnsi="Cambria"/>
          <w:b/>
        </w:rPr>
        <w:t xml:space="preserve"> </w:t>
      </w:r>
      <w:r w:rsidRPr="008341FF">
        <w:rPr>
          <w:rFonts w:ascii="Cambria" w:hAnsi="Cambria"/>
        </w:rPr>
        <w:t xml:space="preserve">predicted return is positive, we will stay in the market (Return = </w:t>
      </w:r>
      <w:r>
        <w:rPr>
          <w:rFonts w:ascii="Cambria" w:hAnsi="Cambria"/>
        </w:rPr>
        <w:t>1.5*</w:t>
      </w:r>
      <w:r w:rsidRPr="008341FF">
        <w:rPr>
          <w:rFonts w:ascii="Cambria" w:hAnsi="Cambria"/>
        </w:rPr>
        <w:t>market return</w:t>
      </w:r>
      <w:r>
        <w:rPr>
          <w:rFonts w:ascii="Cambria" w:hAnsi="Cambria"/>
        </w:rPr>
        <w:t>-0.5*</w:t>
      </w:r>
      <w:proofErr w:type="spellStart"/>
      <w:r>
        <w:rPr>
          <w:rFonts w:ascii="Cambria" w:hAnsi="Cambria"/>
        </w:rPr>
        <w:t>riskfree</w:t>
      </w:r>
      <w:proofErr w:type="spellEnd"/>
      <w:r>
        <w:rPr>
          <w:rFonts w:ascii="Cambria" w:hAnsi="Cambria"/>
        </w:rPr>
        <w:t xml:space="preserve"> return</w:t>
      </w:r>
      <w:r w:rsidRPr="008341FF">
        <w:rPr>
          <w:rFonts w:ascii="Cambria" w:hAnsi="Cambria"/>
        </w:rPr>
        <w:t xml:space="preserve">). Else, out of the market (Return = </w:t>
      </w:r>
      <w:r>
        <w:rPr>
          <w:rFonts w:ascii="Cambria" w:hAnsi="Cambria"/>
        </w:rPr>
        <w:t>-0.5*</w:t>
      </w:r>
      <w:r w:rsidRPr="008341FF">
        <w:rPr>
          <w:rFonts w:ascii="Cambria" w:hAnsi="Cambria"/>
        </w:rPr>
        <w:t>market return</w:t>
      </w:r>
      <w:r>
        <w:rPr>
          <w:rFonts w:ascii="Cambria" w:hAnsi="Cambria"/>
        </w:rPr>
        <w:t>+1.5*</w:t>
      </w:r>
      <w:proofErr w:type="spellStart"/>
      <w:r>
        <w:rPr>
          <w:rFonts w:ascii="Cambria" w:hAnsi="Cambria"/>
        </w:rPr>
        <w:t>riskfree</w:t>
      </w:r>
      <w:proofErr w:type="spellEnd"/>
      <w:r>
        <w:rPr>
          <w:rFonts w:ascii="Cambria" w:hAnsi="Cambria"/>
        </w:rPr>
        <w:t xml:space="preserve"> return</w:t>
      </w:r>
      <w:r w:rsidRPr="008341FF">
        <w:rPr>
          <w:rFonts w:ascii="Cambria" w:hAnsi="Cambria"/>
        </w:rPr>
        <w:t>).</w:t>
      </w:r>
    </w:p>
    <w:p w:rsidR="00685F00" w:rsidRDefault="00685F00"/>
    <w:sectPr w:rsidR="0068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MDQyNjMxMjM0MDVW0lEKTi0uzszPAykwqgUAx1uQZiwAAAA="/>
  </w:docVars>
  <w:rsids>
    <w:rsidRoot w:val="006A1AB2"/>
    <w:rsid w:val="0002072A"/>
    <w:rsid w:val="000652BE"/>
    <w:rsid w:val="002C04A2"/>
    <w:rsid w:val="003A5D49"/>
    <w:rsid w:val="00447E48"/>
    <w:rsid w:val="004C2F94"/>
    <w:rsid w:val="005568B0"/>
    <w:rsid w:val="005D6CE1"/>
    <w:rsid w:val="0060040F"/>
    <w:rsid w:val="00685F00"/>
    <w:rsid w:val="006A1AB2"/>
    <w:rsid w:val="008341FF"/>
    <w:rsid w:val="008550B1"/>
    <w:rsid w:val="008C468E"/>
    <w:rsid w:val="00986A18"/>
    <w:rsid w:val="00990FFA"/>
    <w:rsid w:val="00D6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F8FD-4852-40DC-B3ED-34C7C791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Kuthuru</dc:creator>
  <cp:keywords/>
  <dc:description/>
  <cp:lastModifiedBy>Adarsh Kuthuru</cp:lastModifiedBy>
  <cp:revision>15</cp:revision>
  <dcterms:created xsi:type="dcterms:W3CDTF">2017-08-20T17:51:00Z</dcterms:created>
  <dcterms:modified xsi:type="dcterms:W3CDTF">2019-04-08T13:03:00Z</dcterms:modified>
</cp:coreProperties>
</file>