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EDAE" w14:textId="77777777" w:rsidR="00854149" w:rsidRDefault="00000000">
      <w:pPr>
        <w:pStyle w:val="Heading3"/>
      </w:pPr>
      <w:bookmarkStart w:id="0" w:name="X2d44cc95068d9295798b47cc68092572a10aaeb"/>
      <w:r>
        <w:t>Executive Functions Benchmark: Measuring Cognitive Control in LLM Moral Reasoning</w:t>
      </w:r>
    </w:p>
    <w:p w14:paraId="702CF676" w14:textId="77777777" w:rsidR="00854149" w:rsidRDefault="00000000">
      <w:pPr>
        <w:pStyle w:val="Heading3"/>
      </w:pPr>
      <w:bookmarkStart w:id="1" w:name="team"/>
      <w:bookmarkEnd w:id="0"/>
      <w:r>
        <w:t>Team</w:t>
      </w:r>
    </w:p>
    <w:p w14:paraId="414AA13F" w14:textId="77777777" w:rsidR="003D79BD" w:rsidRDefault="00000000">
      <w:pPr>
        <w:pStyle w:val="FirstParagraph"/>
      </w:pPr>
      <w:r>
        <w:rPr>
          <w:b/>
          <w:bCs/>
        </w:rPr>
        <w:t>Andrew Bond</w:t>
      </w:r>
      <w:r>
        <w:t xml:space="preserve"> — Senior Member, IEEE</w:t>
      </w:r>
      <w:r w:rsidR="003D79BD">
        <w:t xml:space="preserve">. </w:t>
      </w:r>
    </w:p>
    <w:p w14:paraId="07F80D4C" w14:textId="6718CD1E" w:rsidR="00854149" w:rsidRDefault="00000000">
      <w:pPr>
        <w:pStyle w:val="FirstParagraph"/>
      </w:pPr>
      <w:r>
        <w:t xml:space="preserve">San Jose State University. </w:t>
      </w:r>
    </w:p>
    <w:p w14:paraId="003C4220" w14:textId="22C80067" w:rsidR="003D79BD" w:rsidRDefault="003D79BD" w:rsidP="003D79BD">
      <w:pPr>
        <w:pStyle w:val="BodyText"/>
      </w:pPr>
      <w:r>
        <w:t>March 2026</w:t>
      </w:r>
    </w:p>
    <w:p w14:paraId="1B3BBD2E" w14:textId="77777777" w:rsidR="003D79BD" w:rsidRPr="003D79BD" w:rsidRDefault="003D79BD" w:rsidP="003D79BD">
      <w:pPr>
        <w:pStyle w:val="BodyText"/>
      </w:pPr>
    </w:p>
    <w:p w14:paraId="5222DCF9" w14:textId="77777777" w:rsidR="00854149" w:rsidRDefault="00000000">
      <w:pPr>
        <w:pStyle w:val="Heading3"/>
      </w:pPr>
      <w:bookmarkStart w:id="2" w:name="problem-statement"/>
      <w:bookmarkEnd w:id="1"/>
      <w:r>
        <w:t>Problem Statement</w:t>
      </w:r>
    </w:p>
    <w:p w14:paraId="1E84176C" w14:textId="77777777" w:rsidR="00854149" w:rsidRDefault="00000000">
      <w:pPr>
        <w:pStyle w:val="FirstParagraph"/>
      </w:pPr>
      <w:r>
        <w:t xml:space="preserve">Large language models are increasingly deployed in high-stakes advisory roles — legal analysis, medical ethics, content moderation, crisis counseling — where their moral judgments directly affect human outcomes. Yet we lack rigorous methods to test whether these models possess the </w:t>
      </w:r>
      <w:r>
        <w:rPr>
          <w:b/>
          <w:bCs/>
        </w:rPr>
        <w:t>executive functions</w:t>
      </w:r>
      <w:r>
        <w:t xml:space="preserve"> that underpin sound moral reasoning in humans: the ability to switch reasoning frameworks, resist emotional manipulation, reason about counterfactuals, and track multiple stakeholders simultaneously.</w:t>
      </w:r>
    </w:p>
    <w:p w14:paraId="4C835157" w14:textId="77777777" w:rsidR="00854149" w:rsidRDefault="00000000">
      <w:pPr>
        <w:pStyle w:val="BodyText"/>
      </w:pPr>
      <w:r>
        <w:t>This benchmark isolates four executive function capabilities in LLM moral cognition, based on Bond (2026):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4332"/>
        <w:gridCol w:w="3876"/>
      </w:tblGrid>
      <w:tr w:rsidR="00854149" w14:paraId="4FAA54F6" w14:textId="77777777" w:rsidTr="003D7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  <w:tcBorders>
              <w:top w:val="single" w:sz="4" w:space="0" w:color="auto"/>
              <w:left w:val="single" w:sz="4" w:space="0" w:color="auto"/>
            </w:tcBorders>
          </w:tcPr>
          <w:p w14:paraId="64D45EE7" w14:textId="77777777" w:rsidR="00854149" w:rsidRDefault="00000000">
            <w:pPr>
              <w:pStyle w:val="Compact"/>
            </w:pPr>
            <w:r>
              <w:t>Test</w:t>
            </w:r>
          </w:p>
        </w:tc>
        <w:tc>
          <w:tcPr>
            <w:tcW w:w="3582" w:type="dxa"/>
            <w:tcBorders>
              <w:top w:val="single" w:sz="4" w:space="0" w:color="auto"/>
            </w:tcBorders>
          </w:tcPr>
          <w:p w14:paraId="4249BE20" w14:textId="77777777" w:rsidR="00854149" w:rsidRDefault="00000000">
            <w:pPr>
              <w:pStyle w:val="Compact"/>
            </w:pPr>
            <w:r>
              <w:t>Executive Function</w:t>
            </w:r>
          </w:p>
        </w:tc>
        <w:tc>
          <w:tcPr>
            <w:tcW w:w="3205" w:type="dxa"/>
            <w:tcBorders>
              <w:top w:val="single" w:sz="4" w:space="0" w:color="auto"/>
              <w:right w:val="single" w:sz="4" w:space="0" w:color="auto"/>
            </w:tcBorders>
          </w:tcPr>
          <w:p w14:paraId="220FB548" w14:textId="77777777" w:rsidR="00854149" w:rsidRDefault="00000000">
            <w:pPr>
              <w:pStyle w:val="Compact"/>
            </w:pPr>
            <w:r>
              <w:t>What It Measures</w:t>
            </w:r>
          </w:p>
        </w:tc>
      </w:tr>
      <w:tr w:rsidR="00854149" w14:paraId="35FF52EB" w14:textId="77777777" w:rsidTr="003D79BD">
        <w:tc>
          <w:tcPr>
            <w:tcW w:w="1131" w:type="dxa"/>
            <w:tcBorders>
              <w:left w:val="single" w:sz="4" w:space="0" w:color="auto"/>
            </w:tcBorders>
          </w:tcPr>
          <w:p w14:paraId="548A37FC" w14:textId="77777777" w:rsidR="00854149" w:rsidRDefault="00000000">
            <w:pPr>
              <w:pStyle w:val="Compact"/>
            </w:pPr>
            <w:r>
              <w:t>E1</w:t>
            </w:r>
          </w:p>
        </w:tc>
        <w:tc>
          <w:tcPr>
            <w:tcW w:w="3582" w:type="dxa"/>
          </w:tcPr>
          <w:p w14:paraId="5592977C" w14:textId="77777777" w:rsidR="00854149" w:rsidRDefault="00000000">
            <w:pPr>
              <w:pStyle w:val="Compact"/>
            </w:pPr>
            <w:r>
              <w:t>Cognitive Flexibility</w:t>
            </w:r>
          </w:p>
        </w:tc>
        <w:tc>
          <w:tcPr>
            <w:tcW w:w="3205" w:type="dxa"/>
            <w:tcBorders>
              <w:right w:val="single" w:sz="4" w:space="0" w:color="auto"/>
            </w:tcBorders>
          </w:tcPr>
          <w:p w14:paraId="73CA6130" w14:textId="77777777" w:rsidR="00854149" w:rsidRDefault="00000000">
            <w:pPr>
              <w:pStyle w:val="Compact"/>
            </w:pPr>
            <w:r>
              <w:t>Can the model genuinely switch ethical frameworks (utilitarian, deontological, virtue), or does it merely relabel the same conclusion?</w:t>
            </w:r>
          </w:p>
        </w:tc>
      </w:tr>
      <w:tr w:rsidR="00854149" w14:paraId="70B6A843" w14:textId="77777777" w:rsidTr="003D79BD">
        <w:tc>
          <w:tcPr>
            <w:tcW w:w="1131" w:type="dxa"/>
            <w:tcBorders>
              <w:left w:val="single" w:sz="4" w:space="0" w:color="auto"/>
            </w:tcBorders>
          </w:tcPr>
          <w:p w14:paraId="1F1CCB2E" w14:textId="77777777" w:rsidR="00854149" w:rsidRDefault="00000000">
            <w:pPr>
              <w:pStyle w:val="Compact"/>
            </w:pPr>
            <w:r>
              <w:t>E2</w:t>
            </w:r>
          </w:p>
        </w:tc>
        <w:tc>
          <w:tcPr>
            <w:tcW w:w="3582" w:type="dxa"/>
          </w:tcPr>
          <w:p w14:paraId="2EAB53F7" w14:textId="77777777" w:rsidR="00854149" w:rsidRDefault="00000000">
            <w:pPr>
              <w:pStyle w:val="Compact"/>
            </w:pPr>
            <w:r>
              <w:t>Inhibitory Control</w:t>
            </w:r>
          </w:p>
        </w:tc>
        <w:tc>
          <w:tcPr>
            <w:tcW w:w="3205" w:type="dxa"/>
            <w:tcBorders>
              <w:right w:val="single" w:sz="4" w:space="0" w:color="auto"/>
            </w:tcBorders>
          </w:tcPr>
          <w:p w14:paraId="7DC103AB" w14:textId="77777777" w:rsidR="00854149" w:rsidRDefault="00000000">
            <w:pPr>
              <w:pStyle w:val="Compact"/>
            </w:pPr>
            <w:r>
              <w:t>Can the model resist emotional anchoring that shifts its moral judgments? Can it recover when warned?</w:t>
            </w:r>
          </w:p>
        </w:tc>
      </w:tr>
      <w:tr w:rsidR="00854149" w14:paraId="45B84F96" w14:textId="77777777" w:rsidTr="003D79BD">
        <w:tc>
          <w:tcPr>
            <w:tcW w:w="1131" w:type="dxa"/>
            <w:tcBorders>
              <w:left w:val="single" w:sz="4" w:space="0" w:color="auto"/>
            </w:tcBorders>
          </w:tcPr>
          <w:p w14:paraId="2A61F6F8" w14:textId="77777777" w:rsidR="00854149" w:rsidRDefault="00000000">
            <w:pPr>
              <w:pStyle w:val="Compact"/>
            </w:pPr>
            <w:r>
              <w:t>E3</w:t>
            </w:r>
          </w:p>
        </w:tc>
        <w:tc>
          <w:tcPr>
            <w:tcW w:w="3582" w:type="dxa"/>
          </w:tcPr>
          <w:p w14:paraId="0B4C5FD7" w14:textId="77777777" w:rsidR="00854149" w:rsidRDefault="00000000">
            <w:pPr>
              <w:pStyle w:val="Compact"/>
            </w:pPr>
            <w:r>
              <w:t>Counterfactual Reasoning</w:t>
            </w:r>
          </w:p>
        </w:tc>
        <w:tc>
          <w:tcPr>
            <w:tcW w:w="3205" w:type="dxa"/>
            <w:tcBorders>
              <w:right w:val="single" w:sz="4" w:space="0" w:color="auto"/>
            </w:tcBorders>
          </w:tcPr>
          <w:p w14:paraId="0C05631F" w14:textId="77777777" w:rsidR="00854149" w:rsidRDefault="00000000">
            <w:pPr>
              <w:pStyle w:val="Compact"/>
            </w:pPr>
            <w:r>
              <w:t>Does changing one causal fact change the moral verdict, or is the model insensitive to causal structure?</w:t>
            </w:r>
          </w:p>
        </w:tc>
      </w:tr>
      <w:tr w:rsidR="00854149" w14:paraId="34C0C469" w14:textId="77777777" w:rsidTr="003D79BD">
        <w:tc>
          <w:tcPr>
            <w:tcW w:w="1131" w:type="dxa"/>
            <w:tcBorders>
              <w:left w:val="single" w:sz="4" w:space="0" w:color="auto"/>
              <w:bottom w:val="single" w:sz="4" w:space="0" w:color="auto"/>
            </w:tcBorders>
          </w:tcPr>
          <w:p w14:paraId="4AD21797" w14:textId="77777777" w:rsidR="00854149" w:rsidRDefault="00000000">
            <w:pPr>
              <w:pStyle w:val="Compact"/>
            </w:pPr>
            <w:r>
              <w:t>E4</w:t>
            </w:r>
          </w:p>
        </w:tc>
        <w:tc>
          <w:tcPr>
            <w:tcW w:w="3582" w:type="dxa"/>
            <w:tcBorders>
              <w:bottom w:val="single" w:sz="4" w:space="0" w:color="auto"/>
            </w:tcBorders>
          </w:tcPr>
          <w:p w14:paraId="78DFDD7C" w14:textId="77777777" w:rsidR="00854149" w:rsidRDefault="00000000">
            <w:pPr>
              <w:pStyle w:val="Compact"/>
            </w:pPr>
            <w:r>
              <w:t>Working Memory</w:t>
            </w:r>
          </w:p>
        </w:tc>
        <w:tc>
          <w:tcPr>
            <w:tcW w:w="3205" w:type="dxa"/>
            <w:tcBorders>
              <w:bottom w:val="single" w:sz="4" w:space="0" w:color="auto"/>
              <w:right w:val="single" w:sz="4" w:space="0" w:color="auto"/>
            </w:tcBorders>
          </w:tcPr>
          <w:p w14:paraId="3F40D1E3" w14:textId="77777777" w:rsidR="00854149" w:rsidRDefault="00000000">
            <w:pPr>
              <w:pStyle w:val="Compact"/>
            </w:pPr>
            <w:r>
              <w:t>Can the model reliably track morally relevant parties as scenario complexity scales from 2 to 8?</w:t>
            </w:r>
          </w:p>
        </w:tc>
      </w:tr>
    </w:tbl>
    <w:p w14:paraId="540DE0D5" w14:textId="77777777" w:rsidR="003D79BD" w:rsidRDefault="003D79BD">
      <w:pPr>
        <w:pStyle w:val="BodyText"/>
        <w:rPr>
          <w:b/>
          <w:bCs/>
        </w:rPr>
      </w:pPr>
    </w:p>
    <w:p w14:paraId="623BCCE7" w14:textId="33773242" w:rsidR="00854149" w:rsidRDefault="00000000">
      <w:pPr>
        <w:pStyle w:val="BodyText"/>
      </w:pPr>
      <w:r>
        <w:rPr>
          <w:b/>
          <w:bCs/>
        </w:rPr>
        <w:lastRenderedPageBreak/>
        <w:t>Primary domain:</w:t>
      </w:r>
      <w:r>
        <w:t xml:space="preserve"> Moral cognition. </w:t>
      </w:r>
      <w:r>
        <w:rPr>
          <w:b/>
          <w:bCs/>
        </w:rPr>
        <w:t>Capability isolated:</w:t>
      </w:r>
      <w:r>
        <w:t xml:space="preserve"> Executive control over moral judgment — the meta-cognitive processes that govern </w:t>
      </w:r>
      <w:r>
        <w:rPr>
          <w:i/>
          <w:iCs/>
        </w:rPr>
        <w:t>how</w:t>
      </w:r>
      <w:r>
        <w:t xml:space="preserve"> a model reasons, not </w:t>
      </w:r>
      <w:r>
        <w:rPr>
          <w:i/>
          <w:iCs/>
        </w:rPr>
        <w:t>what</w:t>
      </w:r>
      <w:r>
        <w:t xml:space="preserve"> it concludes. </w:t>
      </w:r>
      <w:r>
        <w:rPr>
          <w:b/>
          <w:bCs/>
        </w:rPr>
        <w:t>New insight revealed:</w:t>
      </w:r>
      <w:r>
        <w:t xml:space="preserve"> Emotional anchoring shifts LLM moral judgments at </w:t>
      </w:r>
      <w:r>
        <w:rPr>
          <w:b/>
          <w:bCs/>
        </w:rPr>
        <w:t>6.7 sigma</w:t>
      </w:r>
      <w:r>
        <w:t xml:space="preserve"> across 4 Gemini models, but explicit inhibition instructions can partially restore neutrality (40% average recovery). Different model generations exhibit fundamentally different inhibitory control profiles.</w:t>
      </w:r>
    </w:p>
    <w:p w14:paraId="2B30B52D" w14:textId="77777777" w:rsidR="00854149" w:rsidRDefault="00000000">
      <w:pPr>
        <w:pStyle w:val="Heading3"/>
      </w:pPr>
      <w:bookmarkStart w:id="3" w:name="task-benchmark-construction"/>
      <w:bookmarkEnd w:id="2"/>
      <w:r>
        <w:t>Task &amp; Benchmark Construction</w:t>
      </w:r>
    </w:p>
    <w:p w14:paraId="06A35179" w14:textId="77777777" w:rsidR="00854149" w:rsidRDefault="00000000">
      <w:pPr>
        <w:pStyle w:val="FirstParagraph"/>
      </w:pPr>
      <w:r>
        <w:t xml:space="preserve">The benchmark uses a </w:t>
      </w:r>
      <w:r>
        <w:rPr>
          <w:b/>
          <w:bCs/>
        </w:rPr>
        <w:t>three-tier data architecture</w:t>
      </w:r>
      <w:r>
        <w:t xml:space="preserve"> to balance interpretive confidence with statistical power:</w:t>
      </w:r>
    </w:p>
    <w:p w14:paraId="4279456E" w14:textId="77777777" w:rsidR="0085414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Gold tier</w:t>
      </w:r>
      <w:r>
        <w:t xml:space="preserve"> (6 scenarios): Hand-audited Dear Abby moral dilemmas with human-written emotional anchors, counterfactuals, and party labels. Highest confidence in ground truth.</w:t>
      </w:r>
    </w:p>
    <w:p w14:paraId="416968D3" w14:textId="77777777" w:rsidR="0085414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Probe tier</w:t>
      </w:r>
      <w:r>
        <w:t xml:space="preserve"> (4-8 per test): Engineered scenarios with maximum experimental control — e.g., provably irrelevant emotional anchors (neutral vs. dramatic rewrites of identical facts), unambiguous single-cause counterfactual pivots.</w:t>
      </w:r>
    </w:p>
    <w:p w14:paraId="03E734A8" w14:textId="77777777" w:rsidR="0085414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Generated tier</w:t>
      </w:r>
      <w:r>
        <w:t xml:space="preserve"> (6-9 per test): Dear Abby scenarios with LLM-generated transforms (dramatic rewrites, counterfactual pivots, composite multi-party scenarios). Provides sample size at the cost of less controlled transforms.</w:t>
      </w:r>
    </w:p>
    <w:p w14:paraId="57DBC7E1" w14:textId="77777777" w:rsidR="00854149" w:rsidRDefault="00000000">
      <w:pPr>
        <w:pStyle w:val="FirstParagraph"/>
      </w:pPr>
      <w:r>
        <w:rPr>
          <w:b/>
          <w:bCs/>
        </w:rPr>
        <w:t>Statistical controls on every test:</w:t>
      </w:r>
      <w:r>
        <w:t xml:space="preserve"> - 3-rep control arms: the model re-judges </w:t>
      </w:r>
      <w:r>
        <w:rPr>
          <w:i/>
          <w:iCs/>
        </w:rPr>
        <w:t>identical text</w:t>
      </w:r>
      <w:r>
        <w:t xml:space="preserve"> to estimate stochastic baseline flip rate - All significance tests compare treatment vs. empirical control (not vs. null=0) - Two-proportion z-tests for verdict flip rates; paired t-tests for severity shifts - Wilson 95% confidence intervals on all proportions - Fisher’s method combines independent p-values across models into a single sigma</w:t>
      </w:r>
    </w:p>
    <w:p w14:paraId="258FDB15" w14:textId="77777777" w:rsidR="00854149" w:rsidRDefault="00000000">
      <w:pPr>
        <w:pStyle w:val="BodyText"/>
      </w:pPr>
      <w:r>
        <w:rPr>
          <w:b/>
          <w:bCs/>
        </w:rPr>
        <w:t>Separation of concerns (E3):</w:t>
      </w:r>
      <w:r>
        <w:t xml:space="preserve"> A fixed transformer model (gemini-2.0-flash) generates all counterfactual text. Models under test only </w:t>
      </w:r>
      <w:r>
        <w:rPr>
          <w:i/>
          <w:iCs/>
        </w:rPr>
        <w:t>judge</w:t>
      </w:r>
      <w:r>
        <w:t xml:space="preserve"> the pre-generated scenarios. This eliminates the self-confirming loop where a model generates a counterfactual designed to confirm its own prior judgment.</w:t>
      </w:r>
    </w:p>
    <w:p w14:paraId="1AD46E07" w14:textId="77777777" w:rsidR="00854149" w:rsidRDefault="00000000">
      <w:pPr>
        <w:pStyle w:val="Heading3"/>
      </w:pPr>
      <w:bookmarkStart w:id="4" w:name="dataset"/>
      <w:bookmarkEnd w:id="3"/>
      <w:r>
        <w:t>Dataset</w:t>
      </w:r>
    </w:p>
    <w:p w14:paraId="628DBB43" w14:textId="77777777" w:rsidR="00854149" w:rsidRDefault="00000000">
      <w:pPr>
        <w:pStyle w:val="FirstParagraph"/>
      </w:pPr>
      <w:r>
        <w:rPr>
          <w:b/>
          <w:bCs/>
        </w:rPr>
        <w:t>Source:</w:t>
      </w:r>
      <w:r>
        <w:t xml:space="preserve"> 25 embedded Dear Abby-style moral dilemmas covering family conflict, workplace ethics, financial disputes, relationship boundaries, and institutional trust. Scenarios selected for moral ambiguity (no objectively correct verdict) with clear stakeholder structure.</w:t>
      </w:r>
    </w:p>
    <w:p w14:paraId="7255E66F" w14:textId="77777777" w:rsidR="00854149" w:rsidRDefault="00000000">
      <w:pPr>
        <w:pStyle w:val="BodyText"/>
      </w:pPr>
      <w:r>
        <w:rPr>
          <w:b/>
          <w:bCs/>
        </w:rPr>
        <w:t>Gold set annotations (6 scenarios):</w:t>
      </w:r>
      <w:r>
        <w:t xml:space="preserve"> Each includes </w:t>
      </w:r>
      <w:r>
        <w:rPr>
          <w:rStyle w:val="VerbatimChar"/>
        </w:rPr>
        <w:t>e2_anchor</w:t>
      </w:r>
      <w:r>
        <w:t xml:space="preserve"> (hand-written emotionally charged rewrite), </w:t>
      </w:r>
      <w:r>
        <w:rPr>
          <w:rStyle w:val="VerbatimChar"/>
        </w:rPr>
        <w:t>e3_counterfactual</w:t>
      </w:r>
      <w:r>
        <w:t xml:space="preserve"> (single-cause pivot question), </w:t>
      </w:r>
      <w:r>
        <w:rPr>
          <w:rStyle w:val="VerbatimChar"/>
        </w:rPr>
        <w:t>e4_parties</w:t>
      </w:r>
      <w:r>
        <w:t xml:space="preserve"> (labeled party list with count). All annotations human-authored and audited.</w:t>
      </w:r>
    </w:p>
    <w:p w14:paraId="64761C25" w14:textId="77777777" w:rsidR="00854149" w:rsidRDefault="00000000">
      <w:pPr>
        <w:pStyle w:val="BodyText"/>
      </w:pPr>
      <w:r>
        <w:rPr>
          <w:b/>
          <w:bCs/>
        </w:rPr>
        <w:t>Engineered probes:</w:t>
      </w:r>
      <w:r>
        <w:t xml:space="preserve"> - E1: 4 classic ethical dilemmas where utilitarian/deontological/virtue frameworks </w:t>
      </w:r>
      <w:r>
        <w:rPr>
          <w:i/>
          <w:iCs/>
        </w:rPr>
        <w:t>should</w:t>
      </w:r>
      <w:r>
        <w:t xml:space="preserve"> diverge (trolley variants, whistleblower, white lies, broken promises) - </w:t>
      </w:r>
      <w:r>
        <w:lastRenderedPageBreak/>
        <w:t>E2: 8 paired scenarios — identical facts written in neutral vs. dramatically charged language. The emotional rewrite changes zero facts; any verdict shift is pure anchoring. - E3: 4 single-cause pivot scenarios where one changed fact should unambiguously reverse the moral conclusion - E4: 4 hand-labeled scenarios at tiers 2/4/6/8 parties with verified party counts</w:t>
      </w:r>
    </w:p>
    <w:p w14:paraId="22229FF8" w14:textId="77777777" w:rsidR="00854149" w:rsidRDefault="00000000">
      <w:pPr>
        <w:pStyle w:val="BodyText"/>
      </w:pPr>
      <w:r>
        <w:rPr>
          <w:b/>
          <w:bCs/>
        </w:rPr>
        <w:t>Structured output schemas:</w:t>
      </w:r>
      <w:r>
        <w:t xml:space="preserve"> </w:t>
      </w:r>
      <w:r>
        <w:rPr>
          <w:rStyle w:val="VerbatimChar"/>
        </w:rPr>
        <w:t>FrameworkVerdict</w:t>
      </w:r>
      <w:r>
        <w:t xml:space="preserve">, </w:t>
      </w:r>
      <w:r>
        <w:rPr>
          <w:rStyle w:val="VerbatimChar"/>
        </w:rPr>
        <w:t>InhibitionVerdict</w:t>
      </w:r>
      <w:r>
        <w:t xml:space="preserve"> (with 0-70 harm scale across 7 dimensions), </w:t>
      </w:r>
      <w:r>
        <w:rPr>
          <w:rStyle w:val="VerbatimChar"/>
        </w:rPr>
        <w:t>CounterfactualVerdict</w:t>
      </w:r>
      <w:r>
        <w:t xml:space="preserve">, </w:t>
      </w:r>
      <w:r>
        <w:rPr>
          <w:rStyle w:val="VerbatimChar"/>
        </w:rPr>
        <w:t>PartyAnalysis</w:t>
      </w:r>
      <w:r>
        <w:t xml:space="preserve"> — enforced via </w:t>
      </w:r>
      <w:r>
        <w:rPr>
          <w:rStyle w:val="VerbatimChar"/>
        </w:rPr>
        <w:t>@dataclass</w:t>
      </w:r>
      <w:r>
        <w:t xml:space="preserve"> schemas passed to the LLM for structured extraction.</w:t>
      </w:r>
    </w:p>
    <w:p w14:paraId="255FAF7B" w14:textId="77777777" w:rsidR="00854149" w:rsidRDefault="00000000">
      <w:pPr>
        <w:pStyle w:val="Heading3"/>
      </w:pPr>
      <w:bookmarkStart w:id="5" w:name="technical-details"/>
      <w:bookmarkEnd w:id="4"/>
      <w:r>
        <w:t>Technical Details</w:t>
      </w:r>
    </w:p>
    <w:p w14:paraId="62DBD8F9" w14:textId="77777777" w:rsidR="00854149" w:rsidRDefault="00000000">
      <w:pPr>
        <w:pStyle w:val="FirstParagraph"/>
      </w:pPr>
      <w:r>
        <w:rPr>
          <w:b/>
          <w:bCs/>
        </w:rPr>
        <w:t>Models tested:</w:t>
      </w:r>
      <w:r>
        <w:t xml:space="preserve"> gemini-2.0-flash and gemini-2.5-pro (full 4-test suite); gemini-2.5-flash and gemini-3-flash-preview (E2 only, for Fisher combination power); claude-sonnet-4.6 (E2 probes only, cross-family validation).</w:t>
      </w:r>
    </w:p>
    <w:p w14:paraId="271FB9C0" w14:textId="77777777" w:rsidR="00854149" w:rsidRDefault="00000000">
      <w:pPr>
        <w:pStyle w:val="BodyText"/>
      </w:pPr>
      <w:r>
        <w:rPr>
          <w:b/>
          <w:bCs/>
        </w:rPr>
        <w:t>Concurrency:</w:t>
      </w:r>
      <w:r>
        <w:t xml:space="preserve"> Adaptive thread pool (CSMA/CA-style) starting at 50 workers, backing off on rate-limit failures, ramping on success. Range 2-80 workers. Total runtime: 37 minutes.</w:t>
      </w:r>
    </w:p>
    <w:p w14:paraId="0725C6CE" w14:textId="77777777" w:rsidR="00854149" w:rsidRDefault="00000000">
      <w:pPr>
        <w:pStyle w:val="BodyText"/>
      </w:pPr>
      <w:r>
        <w:rPr>
          <w:b/>
          <w:bCs/>
        </w:rPr>
        <w:t>E2 severity scale:</w:t>
      </w:r>
      <w:r>
        <w:t xml:space="preserve"> 7-dimension harm rating (Consequences, Rights, Fairness, Autonomy, Trust, Social Impact, Identity) at 0-10 each, producing a 0-70 continuous scale. This provides far more statistical power than binary verdict alone for detecting subtle anchoring shifts.</w:t>
      </w:r>
    </w:p>
    <w:p w14:paraId="4F488E53" w14:textId="77777777" w:rsidR="00854149" w:rsidRDefault="00000000">
      <w:pPr>
        <w:pStyle w:val="BodyText"/>
      </w:pPr>
      <w:r>
        <w:rPr>
          <w:b/>
          <w:bCs/>
        </w:rPr>
        <w:t>E4 scoring:</w:t>
      </w:r>
      <w:r>
        <w:t xml:space="preserve"> Blended metric — 50% accuracy (distance from expected party count) + 50% consistency (agreement across 3 independent identifications of the same scenario). This avoids the ceiling effect of consistency-only scoring.</w:t>
      </w:r>
    </w:p>
    <w:p w14:paraId="2D88D68D" w14:textId="77777777" w:rsidR="00854149" w:rsidRDefault="00000000">
      <w:pPr>
        <w:pStyle w:val="BodyText"/>
      </w:pPr>
      <w:r>
        <w:rPr>
          <w:b/>
          <w:bCs/>
        </w:rPr>
        <w:t>Fisher combination:</w:t>
      </w:r>
      <w:r>
        <w:t xml:space="preserve"> Independent paired t-statistics from each model’s E2 severity data are converted to sigma via exact incomplete beta function, then combined using Fisher’s chi-squared method with Wilson-Hilferty normal approximation.</w:t>
      </w:r>
    </w:p>
    <w:p w14:paraId="759BB53D" w14:textId="77777777" w:rsidR="00854149" w:rsidRDefault="00000000">
      <w:pPr>
        <w:pStyle w:val="Heading3"/>
      </w:pPr>
      <w:bookmarkStart w:id="6" w:name="results-insights-and-conclusions"/>
      <w:bookmarkEnd w:id="5"/>
      <w:r>
        <w:t>Results, Insights, and Conclusions</w:t>
      </w:r>
    </w:p>
    <w:p w14:paraId="7184D314" w14:textId="77777777" w:rsidR="00854149" w:rsidRDefault="00000000">
      <w:pPr>
        <w:pStyle w:val="FirstParagraph"/>
      </w:pPr>
      <w:r>
        <w:rPr>
          <w:b/>
          <w:bCs/>
        </w:rPr>
        <w:t>Headline finding: Emotional anchoring at 6.7 sigma (E2)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02"/>
        <w:gridCol w:w="1568"/>
        <w:gridCol w:w="858"/>
        <w:gridCol w:w="2241"/>
        <w:gridCol w:w="1631"/>
      </w:tblGrid>
      <w:tr w:rsidR="00854149" w14:paraId="5D46C6D8" w14:textId="77777777" w:rsidTr="003D7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</w:tcPr>
          <w:p w14:paraId="0FA29217" w14:textId="77777777" w:rsidR="00854149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ACB3E84" w14:textId="77777777" w:rsidR="00854149" w:rsidRDefault="00000000">
            <w:pPr>
              <w:pStyle w:val="Compact"/>
            </w:pPr>
            <w:r>
              <w:t>Anchor t-stat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22A36B5" w14:textId="77777777" w:rsidR="00854149" w:rsidRDefault="00000000">
            <w:pPr>
              <w:pStyle w:val="Compact"/>
            </w:pPr>
            <w:r>
              <w:t>Sigma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8816ED4" w14:textId="77777777" w:rsidR="00854149" w:rsidRDefault="00000000">
            <w:pPr>
              <w:pStyle w:val="Compact"/>
            </w:pPr>
            <w:r>
              <w:t>Verdict flip rate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1885BA3F" w14:textId="77777777" w:rsidR="00854149" w:rsidRDefault="00000000">
            <w:pPr>
              <w:pStyle w:val="Compact"/>
            </w:pPr>
            <w:r>
              <w:t>Recovery rate</w:t>
            </w:r>
          </w:p>
        </w:tc>
      </w:tr>
      <w:tr w:rsidR="00854149" w14:paraId="4D9F4367" w14:textId="77777777" w:rsidTr="003D79BD">
        <w:tc>
          <w:tcPr>
            <w:tcW w:w="0" w:type="auto"/>
            <w:tcBorders>
              <w:left w:val="single" w:sz="4" w:space="0" w:color="auto"/>
            </w:tcBorders>
          </w:tcPr>
          <w:p w14:paraId="7F474300" w14:textId="77777777" w:rsidR="00854149" w:rsidRDefault="00000000">
            <w:pPr>
              <w:pStyle w:val="Compact"/>
            </w:pPr>
            <w:r>
              <w:t>gemini-2.0-flash</w:t>
            </w:r>
          </w:p>
        </w:tc>
        <w:tc>
          <w:tcPr>
            <w:tcW w:w="0" w:type="auto"/>
          </w:tcPr>
          <w:p w14:paraId="6BE264D6" w14:textId="77777777" w:rsidR="00854149" w:rsidRDefault="00000000">
            <w:pPr>
              <w:pStyle w:val="Compact"/>
            </w:pPr>
            <w:r>
              <w:t>6.90</w:t>
            </w:r>
          </w:p>
        </w:tc>
        <w:tc>
          <w:tcPr>
            <w:tcW w:w="0" w:type="auto"/>
          </w:tcPr>
          <w:p w14:paraId="67436019" w14:textId="77777777" w:rsidR="00854149" w:rsidRDefault="00000000">
            <w:pPr>
              <w:pStyle w:val="Compact"/>
            </w:pPr>
            <w:r>
              <w:t>5.0σ</w:t>
            </w:r>
          </w:p>
        </w:tc>
        <w:tc>
          <w:tcPr>
            <w:tcW w:w="0" w:type="auto"/>
          </w:tcPr>
          <w:p w14:paraId="1ECA90C0" w14:textId="77777777" w:rsidR="00854149" w:rsidRDefault="00000000">
            <w:pPr>
              <w:pStyle w:val="Compact"/>
            </w:pPr>
            <w:r>
              <w:t>39% vs 1% control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5C1FDE47" w14:textId="77777777" w:rsidR="00854149" w:rsidRDefault="00000000">
            <w:pPr>
              <w:pStyle w:val="Compact"/>
            </w:pPr>
            <w:r>
              <w:rPr>
                <w:b/>
                <w:bCs/>
              </w:rPr>
              <w:t>78%</w:t>
            </w:r>
          </w:p>
        </w:tc>
      </w:tr>
      <w:tr w:rsidR="00854149" w14:paraId="0625B4D6" w14:textId="77777777" w:rsidTr="003D79BD">
        <w:tc>
          <w:tcPr>
            <w:tcW w:w="0" w:type="auto"/>
            <w:tcBorders>
              <w:left w:val="single" w:sz="4" w:space="0" w:color="auto"/>
            </w:tcBorders>
          </w:tcPr>
          <w:p w14:paraId="71E998B0" w14:textId="77777777" w:rsidR="00854149" w:rsidRDefault="00000000">
            <w:pPr>
              <w:pStyle w:val="Compact"/>
            </w:pPr>
            <w:r>
              <w:t>gemini-2.5-pro</w:t>
            </w:r>
          </w:p>
        </w:tc>
        <w:tc>
          <w:tcPr>
            <w:tcW w:w="0" w:type="auto"/>
          </w:tcPr>
          <w:p w14:paraId="299382B6" w14:textId="77777777" w:rsidR="00854149" w:rsidRDefault="00000000">
            <w:pPr>
              <w:pStyle w:val="Compact"/>
            </w:pPr>
            <w:r>
              <w:t>3.97</w:t>
            </w:r>
          </w:p>
        </w:tc>
        <w:tc>
          <w:tcPr>
            <w:tcW w:w="0" w:type="auto"/>
          </w:tcPr>
          <w:p w14:paraId="1B0A53D1" w14:textId="77777777" w:rsidR="00854149" w:rsidRDefault="00000000">
            <w:pPr>
              <w:pStyle w:val="Compact"/>
            </w:pPr>
            <w:r>
              <w:t>3.4σ</w:t>
            </w:r>
          </w:p>
        </w:tc>
        <w:tc>
          <w:tcPr>
            <w:tcW w:w="0" w:type="auto"/>
          </w:tcPr>
          <w:p w14:paraId="763E2847" w14:textId="77777777" w:rsidR="00854149" w:rsidRDefault="00000000">
            <w:pPr>
              <w:pStyle w:val="Compact"/>
            </w:pPr>
            <w:r>
              <w:t>26% vs 10% control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499C2434" w14:textId="77777777" w:rsidR="00854149" w:rsidRDefault="00000000">
            <w:pPr>
              <w:pStyle w:val="Compact"/>
            </w:pPr>
            <w:r>
              <w:rPr>
                <w:b/>
                <w:bCs/>
              </w:rPr>
              <w:t>0%</w:t>
            </w:r>
          </w:p>
        </w:tc>
      </w:tr>
      <w:tr w:rsidR="00854149" w14:paraId="6BD64AC0" w14:textId="77777777" w:rsidTr="003D79BD">
        <w:tc>
          <w:tcPr>
            <w:tcW w:w="0" w:type="auto"/>
            <w:tcBorders>
              <w:left w:val="single" w:sz="4" w:space="0" w:color="auto"/>
            </w:tcBorders>
          </w:tcPr>
          <w:p w14:paraId="6F973654" w14:textId="77777777" w:rsidR="00854149" w:rsidRDefault="00000000">
            <w:pPr>
              <w:pStyle w:val="Compact"/>
            </w:pPr>
            <w:r>
              <w:t>gemini-2.5-flash</w:t>
            </w:r>
          </w:p>
        </w:tc>
        <w:tc>
          <w:tcPr>
            <w:tcW w:w="0" w:type="auto"/>
          </w:tcPr>
          <w:p w14:paraId="170C2463" w14:textId="77777777" w:rsidR="00854149" w:rsidRDefault="00000000">
            <w:pPr>
              <w:pStyle w:val="Compact"/>
            </w:pPr>
            <w:r>
              <w:t>2.95</w:t>
            </w:r>
          </w:p>
        </w:tc>
        <w:tc>
          <w:tcPr>
            <w:tcW w:w="0" w:type="auto"/>
          </w:tcPr>
          <w:p w14:paraId="47DCA4C9" w14:textId="77777777" w:rsidR="00854149" w:rsidRDefault="00000000">
            <w:pPr>
              <w:pStyle w:val="Compact"/>
            </w:pPr>
            <w:r>
              <w:t>2.7σ</w:t>
            </w:r>
          </w:p>
        </w:tc>
        <w:tc>
          <w:tcPr>
            <w:tcW w:w="0" w:type="auto"/>
          </w:tcPr>
          <w:p w14:paraId="76AA7D0C" w14:textId="77777777" w:rsidR="00854149" w:rsidRDefault="00000000">
            <w:pPr>
              <w:pStyle w:val="Compact"/>
            </w:pPr>
            <w:r>
              <w:t>39% vs 26% control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058C20E3" w14:textId="77777777" w:rsidR="00854149" w:rsidRDefault="00000000">
            <w:pPr>
              <w:pStyle w:val="Compact"/>
            </w:pPr>
            <w:r>
              <w:t>33%</w:t>
            </w:r>
          </w:p>
        </w:tc>
      </w:tr>
      <w:tr w:rsidR="00854149" w14:paraId="06680257" w14:textId="77777777" w:rsidTr="003D79BD">
        <w:tc>
          <w:tcPr>
            <w:tcW w:w="0" w:type="auto"/>
            <w:tcBorders>
              <w:left w:val="single" w:sz="4" w:space="0" w:color="auto"/>
            </w:tcBorders>
          </w:tcPr>
          <w:p w14:paraId="16FEA0FD" w14:textId="77777777" w:rsidR="00854149" w:rsidRDefault="00000000">
            <w:pPr>
              <w:pStyle w:val="Compact"/>
            </w:pPr>
            <w:r>
              <w:t>gemini-3-flash-preview</w:t>
            </w:r>
          </w:p>
        </w:tc>
        <w:tc>
          <w:tcPr>
            <w:tcW w:w="0" w:type="auto"/>
          </w:tcPr>
          <w:p w14:paraId="4172B97D" w14:textId="77777777" w:rsidR="00854149" w:rsidRDefault="00000000">
            <w:pPr>
              <w:pStyle w:val="Compact"/>
            </w:pPr>
            <w:r>
              <w:t>3.85</w:t>
            </w:r>
          </w:p>
        </w:tc>
        <w:tc>
          <w:tcPr>
            <w:tcW w:w="0" w:type="auto"/>
          </w:tcPr>
          <w:p w14:paraId="6942D75C" w14:textId="77777777" w:rsidR="00854149" w:rsidRDefault="00000000">
            <w:pPr>
              <w:pStyle w:val="Compact"/>
            </w:pPr>
            <w:r>
              <w:t>3.3σ</w:t>
            </w:r>
          </w:p>
        </w:tc>
        <w:tc>
          <w:tcPr>
            <w:tcW w:w="0" w:type="auto"/>
          </w:tcPr>
          <w:p w14:paraId="444CD44A" w14:textId="77777777" w:rsidR="00854149" w:rsidRDefault="00000000">
            <w:pPr>
              <w:pStyle w:val="Compact"/>
            </w:pPr>
            <w:r>
              <w:t>9% vs 10% control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5278FBFD" w14:textId="77777777" w:rsidR="00854149" w:rsidRDefault="00000000">
            <w:pPr>
              <w:pStyle w:val="Compact"/>
            </w:pPr>
            <w:r>
              <w:t>50%</w:t>
            </w:r>
          </w:p>
        </w:tc>
      </w:tr>
      <w:tr w:rsidR="00854149" w14:paraId="5FD4BCFE" w14:textId="77777777" w:rsidTr="003D79BD"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</w:tcPr>
          <w:p w14:paraId="5F2E6685" w14:textId="77777777" w:rsidR="00854149" w:rsidRDefault="00000000">
            <w:pPr>
              <w:pStyle w:val="Compact"/>
            </w:pPr>
            <w:r>
              <w:rPr>
                <w:b/>
                <w:bCs/>
              </w:rPr>
              <w:t>Fisher combined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21FEEE3" w14:textId="77777777" w:rsidR="00854149" w:rsidRDefault="00854149">
            <w:pPr>
              <w:pStyle w:val="Compact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E1C2386" w14:textId="77777777" w:rsidR="00854149" w:rsidRDefault="00000000">
            <w:pPr>
              <w:pStyle w:val="Compact"/>
            </w:pPr>
            <w:r>
              <w:rPr>
                <w:b/>
                <w:bCs/>
              </w:rPr>
              <w:t>6.7σ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88BBA33" w14:textId="77777777" w:rsidR="00854149" w:rsidRDefault="00854149">
            <w:pPr>
              <w:pStyle w:val="Compact"/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33730D5F" w14:textId="77777777" w:rsidR="00854149" w:rsidRDefault="00000000">
            <w:pPr>
              <w:pStyle w:val="Compact"/>
            </w:pPr>
            <w:r>
              <w:rPr>
                <w:b/>
                <w:bCs/>
              </w:rPr>
              <w:t>40% avg</w:t>
            </w:r>
          </w:p>
        </w:tc>
      </w:tr>
    </w:tbl>
    <w:p w14:paraId="7F63410C" w14:textId="77777777" w:rsidR="00854149" w:rsidRDefault="00000000">
      <w:pPr>
        <w:pStyle w:val="BodyText"/>
      </w:pPr>
      <w:r>
        <w:t>Every model independently shows significant severity shifts from emotional rewriting (all t &gt; 2.9, all σ &gt; 2.5). The combined 6.7σ exceeds the 5σ discovery threshold used in particle physics.</w:t>
      </w:r>
    </w:p>
    <w:p w14:paraId="1DC37554" w14:textId="77777777" w:rsidR="00854149" w:rsidRDefault="00000000">
      <w:pPr>
        <w:pStyle w:val="BodyText"/>
      </w:pPr>
      <w:r>
        <w:rPr>
          <w:b/>
          <w:bCs/>
        </w:rPr>
        <w:lastRenderedPageBreak/>
        <w:t>Cross-family validation:</w:t>
      </w:r>
      <w:r>
        <w:t xml:space="preserve"> Claude Sonnet 4.6 shows 12% anchor flip rate and 7.0-point average severity shift on the same probes, confirming the effect is not Gemini-specific.</w:t>
      </w:r>
    </w:p>
    <w:p w14:paraId="6E78D6AD" w14:textId="77777777" w:rsidR="00854149" w:rsidRDefault="00000000">
      <w:pPr>
        <w:pStyle w:val="BodyText"/>
      </w:pPr>
      <w:r>
        <w:rPr>
          <w:b/>
          <w:bCs/>
        </w:rPr>
        <w:t>Discriminatory power — four distinct inhibitory control profiles:</w:t>
      </w:r>
      <w:r>
        <w:t xml:space="preserve"> - </w:t>
      </w:r>
      <w:r>
        <w:rPr>
          <w:b/>
          <w:bCs/>
        </w:rPr>
        <w:t>Flash (2.0):</w:t>
      </w:r>
      <w:r>
        <w:t xml:space="preserve"> Easily manipulated but self-corrects when warned (78% recovery) — </w:t>
      </w:r>
      <w:r>
        <w:rPr>
          <w:i/>
          <w:iCs/>
        </w:rPr>
        <w:t>compliant but resilient</w:t>
      </w:r>
      <w:r>
        <w:t xml:space="preserve"> - </w:t>
      </w:r>
      <w:r>
        <w:rPr>
          <w:b/>
          <w:bCs/>
        </w:rPr>
        <w:t>Pro (2.5):</w:t>
      </w:r>
      <w:r>
        <w:t xml:space="preserve"> More verdict-resistant but cannot self-correct (0% recovery), noisier baseline — </w:t>
      </w:r>
      <w:r>
        <w:rPr>
          <w:i/>
          <w:iCs/>
        </w:rPr>
        <w:t>stubborn but brittle</w:t>
      </w:r>
      <w:r>
        <w:t xml:space="preserve"> - </w:t>
      </w:r>
      <w:r>
        <w:rPr>
          <w:b/>
          <w:bCs/>
        </w:rPr>
        <w:t>Flash (2.5):</w:t>
      </w:r>
      <w:r>
        <w:t xml:space="preserve"> Moderate manipulation, moderate recovery, very noisy control — </w:t>
      </w:r>
      <w:r>
        <w:rPr>
          <w:i/>
          <w:iCs/>
        </w:rPr>
        <w:t>unreliable</w:t>
      </w:r>
      <w:r>
        <w:t xml:space="preserve"> - </w:t>
      </w:r>
      <w:r>
        <w:rPr>
          <w:b/>
          <w:bCs/>
        </w:rPr>
        <w:t>Flash (3.0-preview):</w:t>
      </w:r>
      <w:r>
        <w:t xml:space="preserve"> Nearly immune to verdict flipping (9%) but severity still shifts — </w:t>
      </w:r>
      <w:r>
        <w:rPr>
          <w:i/>
          <w:iCs/>
        </w:rPr>
        <w:t>best executive control</w:t>
      </w:r>
    </w:p>
    <w:p w14:paraId="2CD0AFC6" w14:textId="77777777" w:rsidR="00854149" w:rsidRDefault="00000000">
      <w:pPr>
        <w:pStyle w:val="BodyText"/>
      </w:pPr>
      <w:r>
        <w:rPr>
          <w:b/>
          <w:bCs/>
        </w:rPr>
        <w:t>Additional findings: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97"/>
        <w:gridCol w:w="4214"/>
        <w:gridCol w:w="3065"/>
      </w:tblGrid>
      <w:tr w:rsidR="00854149" w14:paraId="73CFCFF6" w14:textId="77777777" w:rsidTr="003D7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</w:tcBorders>
          </w:tcPr>
          <w:p w14:paraId="5CF3FB65" w14:textId="77777777" w:rsidR="00854149" w:rsidRDefault="00000000">
            <w:pPr>
              <w:pStyle w:val="Compact"/>
            </w:pPr>
            <w:r>
              <w:t>Test</w:t>
            </w:r>
          </w:p>
        </w:tc>
        <w:tc>
          <w:tcPr>
            <w:tcW w:w="3484" w:type="dxa"/>
            <w:tcBorders>
              <w:top w:val="single" w:sz="4" w:space="0" w:color="auto"/>
            </w:tcBorders>
          </w:tcPr>
          <w:p w14:paraId="170041F0" w14:textId="77777777" w:rsidR="00854149" w:rsidRDefault="00000000">
            <w:pPr>
              <w:pStyle w:val="Compact"/>
            </w:pPr>
            <w:r>
              <w:t>Key Result</w:t>
            </w:r>
          </w:p>
        </w:tc>
        <w:tc>
          <w:tcPr>
            <w:tcW w:w="2534" w:type="dxa"/>
            <w:tcBorders>
              <w:top w:val="single" w:sz="4" w:space="0" w:color="auto"/>
              <w:right w:val="single" w:sz="4" w:space="0" w:color="auto"/>
            </w:tcBorders>
          </w:tcPr>
          <w:p w14:paraId="7FEE4B68" w14:textId="77777777" w:rsidR="00854149" w:rsidRDefault="00000000">
            <w:pPr>
              <w:pStyle w:val="Compact"/>
            </w:pPr>
            <w:r>
              <w:t>Signal</w:t>
            </w:r>
          </w:p>
        </w:tc>
      </w:tr>
      <w:tr w:rsidR="00854149" w14:paraId="3B60A09A" w14:textId="77777777" w:rsidTr="003D79BD">
        <w:tc>
          <w:tcPr>
            <w:tcW w:w="1900" w:type="dxa"/>
            <w:tcBorders>
              <w:left w:val="single" w:sz="4" w:space="0" w:color="auto"/>
            </w:tcBorders>
          </w:tcPr>
          <w:p w14:paraId="066A01E3" w14:textId="77777777" w:rsidR="00854149" w:rsidRDefault="00000000">
            <w:pPr>
              <w:pStyle w:val="Compact"/>
            </w:pPr>
            <w:r>
              <w:t>E1: Flexibility</w:t>
            </w:r>
          </w:p>
        </w:tc>
        <w:tc>
          <w:tcPr>
            <w:tcW w:w="3484" w:type="dxa"/>
          </w:tcPr>
          <w:p w14:paraId="2BD71C23" w14:textId="77777777" w:rsidR="00854149" w:rsidRDefault="00000000">
            <w:pPr>
              <w:pStyle w:val="Compact"/>
            </w:pPr>
            <w:r>
              <w:t>45% switch rate, 93% marker specificity</w:t>
            </w:r>
          </w:p>
        </w:tc>
        <w:tc>
          <w:tcPr>
            <w:tcW w:w="2534" w:type="dxa"/>
            <w:tcBorders>
              <w:right w:val="single" w:sz="4" w:space="0" w:color="auto"/>
            </w:tcBorders>
          </w:tcPr>
          <w:p w14:paraId="765F26CE" w14:textId="77777777" w:rsidR="00854149" w:rsidRDefault="00000000">
            <w:pPr>
              <w:pStyle w:val="Compact"/>
            </w:pPr>
            <w:r>
              <w:t>z=4.7 (Flash), z=3.8 (Pro). Genuine framework switching, not relabeling</w:t>
            </w:r>
          </w:p>
        </w:tc>
      </w:tr>
      <w:tr w:rsidR="00854149" w14:paraId="4D2142D0" w14:textId="77777777" w:rsidTr="003D79BD">
        <w:tc>
          <w:tcPr>
            <w:tcW w:w="1900" w:type="dxa"/>
            <w:tcBorders>
              <w:left w:val="single" w:sz="4" w:space="0" w:color="auto"/>
            </w:tcBorders>
          </w:tcPr>
          <w:p w14:paraId="04FDFFDA" w14:textId="77777777" w:rsidR="00854149" w:rsidRDefault="00000000">
            <w:pPr>
              <w:pStyle w:val="Compact"/>
            </w:pPr>
            <w:r>
              <w:t>E3: Counterfactual</w:t>
            </w:r>
          </w:p>
        </w:tc>
        <w:tc>
          <w:tcPr>
            <w:tcW w:w="3484" w:type="dxa"/>
          </w:tcPr>
          <w:p w14:paraId="1F4D01C0" w14:textId="77777777" w:rsidR="00854149" w:rsidRDefault="00000000">
            <w:pPr>
              <w:pStyle w:val="Compact"/>
            </w:pPr>
            <w:r>
              <w:t>Flash 50%, Pro 81% flip rate</w:t>
            </w:r>
          </w:p>
        </w:tc>
        <w:tc>
          <w:tcPr>
            <w:tcW w:w="2534" w:type="dxa"/>
            <w:tcBorders>
              <w:right w:val="single" w:sz="4" w:space="0" w:color="auto"/>
            </w:tcBorders>
          </w:tcPr>
          <w:p w14:paraId="6848D506" w14:textId="77777777" w:rsidR="00854149" w:rsidRDefault="00000000">
            <w:pPr>
              <w:pStyle w:val="Compact"/>
            </w:pPr>
            <w:r>
              <w:t>z=5.2 (Flash), z=3.7 (Pro). Pro is substantially more sensitive to causal pivots</w:t>
            </w:r>
          </w:p>
        </w:tc>
      </w:tr>
      <w:tr w:rsidR="00854149" w14:paraId="3524B233" w14:textId="77777777" w:rsidTr="003D79BD">
        <w:tc>
          <w:tcPr>
            <w:tcW w:w="1900" w:type="dxa"/>
            <w:tcBorders>
              <w:left w:val="single" w:sz="4" w:space="0" w:color="auto"/>
              <w:bottom w:val="single" w:sz="4" w:space="0" w:color="auto"/>
            </w:tcBorders>
          </w:tcPr>
          <w:p w14:paraId="100CF42A" w14:textId="77777777" w:rsidR="00854149" w:rsidRDefault="00000000">
            <w:pPr>
              <w:pStyle w:val="Compact"/>
            </w:pPr>
            <w:r>
              <w:t>E4: Working Memory</w:t>
            </w:r>
          </w:p>
        </w:tc>
        <w:tc>
          <w:tcPr>
            <w:tcW w:w="3484" w:type="dxa"/>
            <w:tcBorders>
              <w:bottom w:val="single" w:sz="4" w:space="0" w:color="auto"/>
            </w:tcBorders>
          </w:tcPr>
          <w:p w14:paraId="5BFFB77D" w14:textId="77777777" w:rsidR="00854149" w:rsidRDefault="00000000">
            <w:pPr>
              <w:pStyle w:val="Compact"/>
            </w:pPr>
            <w:r>
              <w:t>Consistency 83-100% across tiers</w:t>
            </w:r>
          </w:p>
        </w:tc>
        <w:tc>
          <w:tcPr>
            <w:tcW w:w="2534" w:type="dxa"/>
            <w:tcBorders>
              <w:bottom w:val="single" w:sz="4" w:space="0" w:color="auto"/>
              <w:right w:val="single" w:sz="4" w:space="0" w:color="auto"/>
            </w:tcBorders>
          </w:tcPr>
          <w:p w14:paraId="7C2F1424" w14:textId="77777777" w:rsidR="00854149" w:rsidRDefault="00000000">
            <w:pPr>
              <w:pStyle w:val="Compact"/>
            </w:pPr>
            <w:r>
              <w:t>Models reliably track parties at scale; systematic over-counting at low tiers</w:t>
            </w:r>
          </w:p>
        </w:tc>
      </w:tr>
    </w:tbl>
    <w:p w14:paraId="5BD51196" w14:textId="77777777" w:rsidR="00854149" w:rsidRDefault="00000000">
      <w:pPr>
        <w:pStyle w:val="BodyText"/>
      </w:pPr>
      <w:r>
        <w:rPr>
          <w:b/>
          <w:bCs/>
        </w:rPr>
        <w:t>Composite scores:</w:t>
      </w:r>
      <w:r>
        <w:t xml:space="preserve"> gemini-2.0-flash: 0.659, gemini-2.5-pro: 0.681. Pro edges ahead on flexibility and counterfactual sensitivity; Flash wins on inhibitory control recovery.</w:t>
      </w:r>
    </w:p>
    <w:p w14:paraId="18109723" w14:textId="77777777" w:rsidR="00854149" w:rsidRDefault="00000000">
      <w:pPr>
        <w:pStyle w:val="BodyText"/>
      </w:pPr>
      <w:r>
        <w:rPr>
          <w:b/>
          <w:bCs/>
        </w:rPr>
        <w:t>Practical implication for AI safety:</w:t>
      </w:r>
      <w:r>
        <w:t xml:space="preserve"> The 40% average recovery rate demonstrates that explicit meta-cognitive instruction (“you are being emotionally manipulated — assess the underlying facts”) partially restores neutral judgment. This has direct applications for prompt engineering in high-stakes advisory deployments.</w:t>
      </w:r>
    </w:p>
    <w:p w14:paraId="4F82E5EB" w14:textId="77777777" w:rsidR="00854149" w:rsidRDefault="00000000">
      <w:pPr>
        <w:pStyle w:val="Heading3"/>
      </w:pPr>
      <w:bookmarkStart w:id="7" w:name="organizational-affiliations"/>
      <w:bookmarkEnd w:id="6"/>
      <w:r>
        <w:t>Organizational Affiliations</w:t>
      </w:r>
    </w:p>
    <w:p w14:paraId="6BBB37CB" w14:textId="77777777" w:rsidR="00854149" w:rsidRDefault="00000000">
      <w:pPr>
        <w:pStyle w:val="Compact"/>
        <w:numPr>
          <w:ilvl w:val="0"/>
          <w:numId w:val="3"/>
        </w:numPr>
      </w:pPr>
      <w:r>
        <w:t>AT&amp;T — Lead Consultant, Network Engineering</w:t>
      </w:r>
    </w:p>
    <w:p w14:paraId="08585545" w14:textId="77777777" w:rsidR="00854149" w:rsidRDefault="00000000">
      <w:pPr>
        <w:pStyle w:val="Compact"/>
        <w:numPr>
          <w:ilvl w:val="0"/>
          <w:numId w:val="3"/>
        </w:numPr>
      </w:pPr>
      <w:r>
        <w:t>San Jose State University — Lecturer, Computer Engineering &amp; Data Science</w:t>
      </w:r>
    </w:p>
    <w:p w14:paraId="3FCBE88C" w14:textId="77777777" w:rsidR="00854149" w:rsidRDefault="00000000">
      <w:pPr>
        <w:pStyle w:val="Compact"/>
        <w:numPr>
          <w:ilvl w:val="0"/>
          <w:numId w:val="3"/>
        </w:numPr>
      </w:pPr>
      <w:r>
        <w:t>IEEE — Senior Member (since 1989)</w:t>
      </w:r>
    </w:p>
    <w:p w14:paraId="0CA50A58" w14:textId="77777777" w:rsidR="00854149" w:rsidRDefault="00000000">
      <w:pPr>
        <w:pStyle w:val="Heading3"/>
      </w:pPr>
      <w:bookmarkStart w:id="8" w:name="references-citations"/>
      <w:bookmarkEnd w:id="7"/>
      <w:r>
        <w:t>References &amp; Citations</w:t>
      </w:r>
    </w:p>
    <w:p w14:paraId="328A9063" w14:textId="77777777" w:rsidR="00854149" w:rsidRDefault="00000000">
      <w:pPr>
        <w:pStyle w:val="Compact"/>
        <w:numPr>
          <w:ilvl w:val="0"/>
          <w:numId w:val="4"/>
        </w:numPr>
      </w:pPr>
      <w:r>
        <w:t xml:space="preserve">Bond, A. (2026). </w:t>
      </w:r>
      <w:r>
        <w:rPr>
          <w:i/>
          <w:iCs/>
        </w:rPr>
        <w:t>Executive Functions in Moral Cognition: A Computational Framework.</w:t>
      </w:r>
      <w:r>
        <w:t xml:space="preserve"> AGI-HPC Project, Executive Functions Track.</w:t>
      </w:r>
    </w:p>
    <w:p w14:paraId="08D1E535" w14:textId="77777777" w:rsidR="00854149" w:rsidRDefault="00000000">
      <w:pPr>
        <w:pStyle w:val="Compact"/>
        <w:numPr>
          <w:ilvl w:val="0"/>
          <w:numId w:val="4"/>
        </w:numPr>
      </w:pPr>
      <w:r>
        <w:t xml:space="preserve">Miyake, A., Friedman, N. P., Emerson, M. J., Witzki, A. H., Howerter, A., &amp; Wager, T. D. (2000). The unity and diversity of executive functions and their contributions to complex “frontal lobe” tasks: A latent variable analysis. </w:t>
      </w:r>
      <w:r>
        <w:rPr>
          <w:i/>
          <w:iCs/>
        </w:rPr>
        <w:t>Cognitive Psychology</w:t>
      </w:r>
      <w:r>
        <w:t>, 41(1), 49-100.</w:t>
      </w:r>
    </w:p>
    <w:p w14:paraId="7752E16A" w14:textId="77777777" w:rsidR="00854149" w:rsidRDefault="00000000">
      <w:pPr>
        <w:pStyle w:val="Compact"/>
        <w:numPr>
          <w:ilvl w:val="0"/>
          <w:numId w:val="4"/>
        </w:numPr>
      </w:pPr>
      <w:r>
        <w:lastRenderedPageBreak/>
        <w:t xml:space="preserve">Tversky, A., &amp; Kahneman, D. (1981). The framing of decisions and the psychology of choice. </w:t>
      </w:r>
      <w:r>
        <w:rPr>
          <w:i/>
          <w:iCs/>
        </w:rPr>
        <w:t>Science</w:t>
      </w:r>
      <w:r>
        <w:t>, 211(4481), 453-458.</w:t>
      </w:r>
    </w:p>
    <w:p w14:paraId="419EA46E" w14:textId="77777777" w:rsidR="00854149" w:rsidRDefault="00000000">
      <w:pPr>
        <w:pStyle w:val="Compact"/>
        <w:numPr>
          <w:ilvl w:val="0"/>
          <w:numId w:val="4"/>
        </w:numPr>
      </w:pPr>
      <w:r>
        <w:t xml:space="preserve">Diamond, A. (2013). Executive functions. </w:t>
      </w:r>
      <w:r>
        <w:rPr>
          <w:i/>
          <w:iCs/>
        </w:rPr>
        <w:t>Annual Review of Psychology</w:t>
      </w:r>
      <w:r>
        <w:t>, 64, 135-168.</w:t>
      </w:r>
    </w:p>
    <w:p w14:paraId="7E16F2CA" w14:textId="77777777" w:rsidR="00854149" w:rsidRDefault="00000000">
      <w:pPr>
        <w:pStyle w:val="Compact"/>
        <w:numPr>
          <w:ilvl w:val="0"/>
          <w:numId w:val="4"/>
        </w:numPr>
      </w:pPr>
      <w:r>
        <w:t xml:space="preserve">Talboy, A. N., &amp; Fuller, E. J. (2023). Challenging LLMs with moral dilemmas: Cognitive biases in large language models. </w:t>
      </w:r>
      <w:r>
        <w:rPr>
          <w:i/>
          <w:iCs/>
        </w:rPr>
        <w:t>arXiv preprint arXiv:2312.04321</w:t>
      </w:r>
      <w:r>
        <w:t>.</w:t>
      </w:r>
    </w:p>
    <w:p w14:paraId="516D1FA0" w14:textId="77777777" w:rsidR="00854149" w:rsidRDefault="00000000">
      <w:pPr>
        <w:pStyle w:val="Compact"/>
        <w:numPr>
          <w:ilvl w:val="0"/>
          <w:numId w:val="4"/>
        </w:numPr>
      </w:pPr>
      <w:r>
        <w:t xml:space="preserve">Hagendorff, T., Fabi, S., &amp; Kosinski, M. (2023). Human-like intuitive behavior and reasoning biases emerged in large language models but disappeared in ChatGPT. </w:t>
      </w:r>
      <w:r>
        <w:rPr>
          <w:i/>
          <w:iCs/>
        </w:rPr>
        <w:t>Nature Computational Science</w:t>
      </w:r>
      <w:r>
        <w:t>, 3(10), 833-838.</w:t>
      </w:r>
    </w:p>
    <w:p w14:paraId="62631ADC" w14:textId="77777777" w:rsidR="00854149" w:rsidRDefault="00000000">
      <w:pPr>
        <w:pStyle w:val="Compact"/>
        <w:numPr>
          <w:ilvl w:val="0"/>
          <w:numId w:val="4"/>
        </w:numPr>
      </w:pPr>
      <w:r>
        <w:t xml:space="preserve">Wilson, E. B. (1927). Probable inference, the law of succession, and statistical inference. </w:t>
      </w:r>
      <w:r>
        <w:rPr>
          <w:i/>
          <w:iCs/>
        </w:rPr>
        <w:t>Journal of the American Statistical Association</w:t>
      </w:r>
      <w:r>
        <w:t>, 22(158), 209-212.</w:t>
      </w:r>
    </w:p>
    <w:p w14:paraId="0F0A4CAE" w14:textId="77777777" w:rsidR="00854149" w:rsidRDefault="00000000">
      <w:pPr>
        <w:pStyle w:val="Compact"/>
        <w:numPr>
          <w:ilvl w:val="0"/>
          <w:numId w:val="4"/>
        </w:numPr>
      </w:pPr>
      <w:r>
        <w:t xml:space="preserve">Fisher, R. A. (1925). </w:t>
      </w:r>
      <w:r>
        <w:rPr>
          <w:i/>
          <w:iCs/>
        </w:rPr>
        <w:t>Statistical Methods for Research Workers</w:t>
      </w:r>
      <w:r>
        <w:t>. Oliver and Boyd.</w:t>
      </w:r>
      <w:bookmarkEnd w:id="8"/>
    </w:p>
    <w:sectPr w:rsidR="0085414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B581F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9D620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CDE74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4715274">
    <w:abstractNumId w:val="0"/>
  </w:num>
  <w:num w:numId="2" w16cid:durableId="1551913449">
    <w:abstractNumId w:val="1"/>
  </w:num>
  <w:num w:numId="3" w16cid:durableId="177501679">
    <w:abstractNumId w:val="1"/>
  </w:num>
  <w:num w:numId="4" w16cid:durableId="3910079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4149"/>
    <w:rsid w:val="003D79BD"/>
    <w:rsid w:val="00854149"/>
    <w:rsid w:val="00EA0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D32CF"/>
  <w15:docId w15:val="{C665E6F1-9533-4850-B7B7-728662E1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1393</Words>
  <Characters>7943</Characters>
  <Application>Microsoft Office Word</Application>
  <DocSecurity>0</DocSecurity>
  <Lines>66</Lines>
  <Paragraphs>18</Paragraphs>
  <ScaleCrop>false</ScaleCrop>
  <Company/>
  <LinksUpToDate>false</LinksUpToDate>
  <CharactersWithSpaces>9318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Andrew Bond</cp:lastModifiedBy>
  <cp:revision>2</cp:revision>
  <dcterms:created xsi:type="dcterms:W3CDTF">2026-03-21T08:04:00Z</dcterms:created>
  <dcterms:modified xsi:type="dcterms:W3CDTF">2026-03-21T08:07:00Z</dcterms:modified>
</cp:coreProperties>
</file>