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62CF0" w14:textId="77777777" w:rsidR="0085616F" w:rsidRDefault="00000000">
      <w:pPr>
        <w:pStyle w:val="Heading1"/>
      </w:pPr>
      <w:bookmarkStart w:id="0" w:name="X5841d2e40bed4618190dbd4ed7dde3dcb6cfcbf"/>
      <w:r>
        <w:t>Moral Geometry Benchmark: Five Geometric Tests of Social Cognition</w:t>
      </w:r>
    </w:p>
    <w:p w14:paraId="5E26D258" w14:textId="77777777" w:rsidR="0085616F" w:rsidRDefault="00000000">
      <w:pPr>
        <w:pStyle w:val="FirstParagraph"/>
        <w:rPr>
          <w:b/>
          <w:bCs/>
        </w:rPr>
      </w:pPr>
      <w:r>
        <w:rPr>
          <w:b/>
          <w:bCs/>
        </w:rPr>
        <w:t>Track: Social Cognition | Bond (2026), Geometric Ethics</w:t>
      </w:r>
    </w:p>
    <w:p w14:paraId="7818630C" w14:textId="033F7544" w:rsidR="00F5397F" w:rsidRDefault="00F5397F" w:rsidP="00F5397F">
      <w:pPr>
        <w:pStyle w:val="BodyText"/>
      </w:pPr>
      <w:r>
        <w:t>Andrew H. Bond</w:t>
      </w:r>
    </w:p>
    <w:p w14:paraId="73B2935D" w14:textId="4770B43D" w:rsidR="00F5397F" w:rsidRDefault="00F5397F" w:rsidP="00F5397F">
      <w:pPr>
        <w:pStyle w:val="BodyText"/>
      </w:pPr>
      <w:r>
        <w:t>Sr. Member, IEEE</w:t>
      </w:r>
    </w:p>
    <w:p w14:paraId="08793283" w14:textId="61F74CCE" w:rsidR="00F5397F" w:rsidRDefault="00F5397F" w:rsidP="00F5397F">
      <w:pPr>
        <w:pStyle w:val="BodyText"/>
      </w:pPr>
      <w:r>
        <w:t>San Jose State University</w:t>
      </w:r>
    </w:p>
    <w:p w14:paraId="2BB5EA77" w14:textId="17D589E1" w:rsidR="00F5397F" w:rsidRPr="00F5397F" w:rsidRDefault="00F5397F" w:rsidP="00F5397F">
      <w:pPr>
        <w:pStyle w:val="BodyText"/>
      </w:pPr>
      <w:r>
        <w:t>Department of Computer Engineering</w:t>
      </w:r>
    </w:p>
    <w:p w14:paraId="12606E30" w14:textId="77777777" w:rsidR="0085616F" w:rsidRDefault="00000000">
      <w:pPr>
        <w:pStyle w:val="Heading2"/>
      </w:pPr>
      <w:bookmarkStart w:id="1" w:name="summary"/>
      <w:r>
        <w:t>Summary</w:t>
      </w:r>
    </w:p>
    <w:p w14:paraId="186FD05A" w14:textId="77777777" w:rsidR="0085616F" w:rsidRDefault="00000000">
      <w:pPr>
        <w:pStyle w:val="FirstParagraph"/>
      </w:pPr>
      <w:r>
        <w:t>We present a benchmark that tests five geometric properties of moral cognition in frontier language models, grounded in the theory that moral judgment has measurable geometric structure (Bond, 2026). Rather than asking “how well does the model judge?” (a scalar), we ask “what structural properties does its moral reasoning exhibit?” — invariance, path-dependence, order sensitivity, dimensional structure, and framing robustness.</w:t>
      </w:r>
    </w:p>
    <w:p w14:paraId="1498C6EB" w14:textId="77777777" w:rsidR="0085616F" w:rsidRDefault="00000000">
      <w:pPr>
        <w:pStyle w:val="BodyText"/>
      </w:pPr>
      <w:r>
        <w:t xml:space="preserve">The headline finding, at </w:t>
      </w:r>
      <w:r>
        <w:rPr>
          <w:b/>
          <w:bCs/>
        </w:rPr>
        <w:t>7.6 sigma combined significance across four models and validated cross-family on Claude Sonnet</w:t>
      </w:r>
      <w:r>
        <w:t>, is that emotional framing dramatically shifts perceived harm even when all underlying facts are identical. Euphemistic rewriting reduces perceived harm by 10-16 points on a 70-point scale; dramatic rewriting increases it by 8-12 points; stochastic controls drift only 3-6 points. This effect replicates across every model tested and is confirmed on hand-crafted synthetic probes where content preservation is guaranteed by construction.</w:t>
      </w:r>
    </w:p>
    <w:p w14:paraId="4413DE04" w14:textId="77777777" w:rsidR="0085616F" w:rsidRDefault="00000000">
      <w:pPr>
        <w:pStyle w:val="Heading2"/>
      </w:pPr>
      <w:bookmarkStart w:id="2" w:name="benchmark-design"/>
      <w:bookmarkEnd w:id="1"/>
      <w:r>
        <w:t>Benchmark Design</w:t>
      </w:r>
    </w:p>
    <w:p w14:paraId="49392595" w14:textId="77777777" w:rsidR="0085616F" w:rsidRDefault="00000000">
      <w:pPr>
        <w:pStyle w:val="FirstParagraph"/>
      </w:pPr>
      <w:r>
        <w:t>The benchmark implements five tests derived from geometric ethics:</w:t>
      </w:r>
    </w:p>
    <w:p w14:paraId="30638EB6" w14:textId="77777777" w:rsidR="0085616F" w:rsidRDefault="00000000">
      <w:pPr>
        <w:pStyle w:val="BodyText"/>
      </w:pPr>
      <w:r>
        <w:rPr>
          <w:b/>
          <w:bCs/>
        </w:rPr>
        <w:t>T1 — Structural Fuzzing (Accuracy).</w:t>
      </w:r>
      <w:r>
        <w:t xml:space="preserve"> Ablate moral dimensions (consequences, rights, fairness, autonomy, trust, social impact, identity) one at a time and measure how each affects verdict accuracy against crowd-labeled AITA data. This produces a sensitivity profile per model. Score is baseline accuracy, not profile sharpness — a sharp profile could reflect artifacts.</w:t>
      </w:r>
    </w:p>
    <w:p w14:paraId="76669DD4" w14:textId="77777777" w:rsidR="0085616F" w:rsidRDefault="00000000">
      <w:pPr>
        <w:pStyle w:val="BodyText"/>
      </w:pPr>
      <w:r>
        <w:rPr>
          <w:b/>
          <w:bCs/>
        </w:rPr>
        <w:t>T2 — Bond Invariance Principle (Consistency).</w:t>
      </w:r>
      <w:r>
        <w:t xml:space="preserve"> Test whether verdicts change under gender swap and cultural reframe. Transformations are generated by a fixed model (gemini-2.0-flash) and judged by the model under test, eliminating the self-confirming loop where a model generates and evaluates its own rewrites. A hand-audited gold set of six scenarios with human-written transformations provides high-confidence data; engineered minimal-pair probes where only one feature differs provide maximal control.</w:t>
      </w:r>
    </w:p>
    <w:p w14:paraId="59C1B351" w14:textId="77777777" w:rsidR="0085616F" w:rsidRDefault="00000000">
      <w:pPr>
        <w:pStyle w:val="BodyText"/>
      </w:pPr>
      <w:r>
        <w:rPr>
          <w:b/>
          <w:bCs/>
        </w:rPr>
        <w:lastRenderedPageBreak/>
        <w:t>T3 — Holonomy / Path-Dependence (Consistency).</w:t>
      </w:r>
      <w:r>
        <w:t xml:space="preserve"> Same moral facts presented in different narrative orders (poster-first, victim-first, context-first). Tests whether the model’s judgment depends on presentation order. Gold set and probes as in T2.</w:t>
      </w:r>
    </w:p>
    <w:p w14:paraId="77091A71" w14:textId="77777777" w:rsidR="0085616F" w:rsidRDefault="00000000">
      <w:pPr>
        <w:pStyle w:val="BodyText"/>
      </w:pPr>
      <w:r>
        <w:rPr>
          <w:b/>
          <w:bCs/>
        </w:rPr>
        <w:t>T4 — Order Sensitivity (Consistency).</w:t>
      </w:r>
      <w:r>
        <w:t xml:space="preserve"> Whether the order in which a model evaluates moral dimensions (e.g., consequences-then-fairness vs. fairness-then-consequences) changes the verdict. Includes engineered conflict probes where two dimensions genuinely oppose each other.</w:t>
      </w:r>
    </w:p>
    <w:p w14:paraId="33485018" w14:textId="77777777" w:rsidR="0085616F" w:rsidRDefault="00000000">
      <w:pPr>
        <w:pStyle w:val="BodyText"/>
      </w:pPr>
      <w:r>
        <w:rPr>
          <w:b/>
          <w:bCs/>
        </w:rPr>
        <w:t>T5 — Framing Sensitivity / Conservation of Harm (Consistency).</w:t>
      </w:r>
      <w:r>
        <w:t xml:space="preserve"> Whether euphemistic or dramatic rewriting of identical facts shifts perceived total harm. Reports correlation, mean absolute deviation, systematic drift direction, and paired t-tests against control. This is the benchmark’s strongest test.</w:t>
      </w:r>
    </w:p>
    <w:p w14:paraId="78358A0C" w14:textId="77777777" w:rsidR="0085616F" w:rsidRDefault="00000000">
      <w:pPr>
        <w:pStyle w:val="Heading2"/>
      </w:pPr>
      <w:bookmarkStart w:id="3" w:name="methodology"/>
      <w:bookmarkEnd w:id="2"/>
      <w:r>
        <w:t>Methodology</w:t>
      </w:r>
    </w:p>
    <w:p w14:paraId="38FDECB0" w14:textId="77777777" w:rsidR="0085616F" w:rsidRDefault="00000000">
      <w:pPr>
        <w:pStyle w:val="FirstParagraph"/>
      </w:pPr>
      <w:r>
        <w:rPr>
          <w:b/>
          <w:bCs/>
        </w:rPr>
        <w:t>Three-tier data architecture.</w:t>
      </w:r>
      <w:r>
        <w:t xml:space="preserve"> Each test draws from: (1) a hand-audited gold set of six Dear Abby scenarios with human-written transformations tagged with what is preserved and what changes; (2) engineered synthetic probes (4 per property, 8 for T5) with maximal experimental control; and (3) LLM-generated transformations for additional sample size (upper-bound interpretation).</w:t>
      </w:r>
    </w:p>
    <w:p w14:paraId="006DFF5F" w14:textId="77777777" w:rsidR="0085616F" w:rsidRDefault="00000000">
      <w:pPr>
        <w:pStyle w:val="BodyText"/>
      </w:pPr>
      <w:r>
        <w:rPr>
          <w:b/>
          <w:bCs/>
        </w:rPr>
        <w:t>Empirical control arms.</w:t>
      </w:r>
      <w:r>
        <w:t xml:space="preserve"> Every test includes 3-rep controls: the model re-judges identical text to estimate stochastic baseline flip rate. Significance is tested via two-proportion z-test (T2-T4) or paired t-test (T5) against the control — not against a null of zero, which inflates significance.</w:t>
      </w:r>
    </w:p>
    <w:p w14:paraId="16EA946A" w14:textId="77777777" w:rsidR="0085616F" w:rsidRDefault="00000000">
      <w:pPr>
        <w:pStyle w:val="BodyText"/>
      </w:pPr>
      <w:r>
        <w:rPr>
          <w:b/>
          <w:bCs/>
        </w:rPr>
        <w:t>Separation of concerns.</w:t>
      </w:r>
      <w:r>
        <w:t xml:space="preserve"> A fixed transformer model generates all text transformations. Models under test only judge pre-generated text. This eliminates the methodological flaw where the same model generates and evaluates its own rewrites.</w:t>
      </w:r>
    </w:p>
    <w:p w14:paraId="404C6320" w14:textId="77777777" w:rsidR="0085616F" w:rsidRDefault="00000000">
      <w:pPr>
        <w:pStyle w:val="BodyText"/>
      </w:pPr>
      <w:r>
        <w:rPr>
          <w:b/>
          <w:bCs/>
        </w:rPr>
        <w:t>Cross-family validation.</w:t>
      </w:r>
      <w:r>
        <w:t xml:space="preserve"> The full five-test suite runs on two Gemini models; T5 runs on two additional Gemini models for statistical power; Claude Sonnet validates the headline finding across model families.</w:t>
      </w:r>
    </w:p>
    <w:p w14:paraId="4D83A5F1" w14:textId="77777777" w:rsidR="0085616F" w:rsidRDefault="00000000">
      <w:pPr>
        <w:pStyle w:val="BodyText"/>
      </w:pPr>
      <w:r>
        <w:rPr>
          <w:b/>
          <w:bCs/>
        </w:rPr>
        <w:t>Rigorous sigma calculation.</w:t>
      </w:r>
      <w:r>
        <w:t xml:space="preserve"> t-statistics are converted to p-values via the regularized incomplete beta function (exact for all degrees of freedom), then combined across models via Fisher’s method. The implementation is validated against scipy to &lt;0.001 error.</w:t>
      </w:r>
    </w:p>
    <w:p w14:paraId="4E81F281" w14:textId="77777777" w:rsidR="0085616F" w:rsidRDefault="00000000">
      <w:pPr>
        <w:pStyle w:val="Heading2"/>
      </w:pPr>
      <w:bookmarkStart w:id="4" w:name="results"/>
      <w:bookmarkEnd w:id="3"/>
      <w:r>
        <w:t>Results</w:t>
      </w:r>
    </w:p>
    <w:p w14:paraId="6A41248A" w14:textId="77777777" w:rsidR="0085616F" w:rsidRDefault="00000000">
      <w:pPr>
        <w:pStyle w:val="Heading3"/>
      </w:pPr>
      <w:bookmarkStart w:id="5" w:name="t5-framing-effect-at-7.6-sigma"/>
      <w:r>
        <w:t>T5: Framing Effect at 7.6 Sigma</w:t>
      </w:r>
    </w:p>
    <w:tbl>
      <w:tblPr>
        <w:tblStyle w:val="Table"/>
        <w:tblW w:w="0" w:type="auto"/>
        <w:tblLook w:val="0020" w:firstRow="1" w:lastRow="0" w:firstColumn="0" w:lastColumn="0" w:noHBand="0" w:noVBand="0"/>
      </w:tblPr>
      <w:tblGrid>
        <w:gridCol w:w="2602"/>
        <w:gridCol w:w="1274"/>
        <w:gridCol w:w="1422"/>
        <w:gridCol w:w="1317"/>
        <w:gridCol w:w="1465"/>
      </w:tblGrid>
      <w:tr w:rsidR="0085616F" w14:paraId="2C934A3B" w14:textId="77777777" w:rsidTr="0085616F">
        <w:trPr>
          <w:cnfStyle w:val="100000000000" w:firstRow="1" w:lastRow="0" w:firstColumn="0" w:lastColumn="0" w:oddVBand="0" w:evenVBand="0" w:oddHBand="0" w:evenHBand="0" w:firstRowFirstColumn="0" w:firstRowLastColumn="0" w:lastRowFirstColumn="0" w:lastRowLastColumn="0"/>
          <w:tblHeader/>
        </w:trPr>
        <w:tc>
          <w:tcPr>
            <w:tcW w:w="0" w:type="auto"/>
          </w:tcPr>
          <w:p w14:paraId="6023AEA1" w14:textId="77777777" w:rsidR="0085616F" w:rsidRDefault="00000000">
            <w:pPr>
              <w:pStyle w:val="Compact"/>
            </w:pPr>
            <w:r>
              <w:t>Model</w:t>
            </w:r>
          </w:p>
        </w:tc>
        <w:tc>
          <w:tcPr>
            <w:tcW w:w="0" w:type="auto"/>
          </w:tcPr>
          <w:p w14:paraId="53EF30ED" w14:textId="77777777" w:rsidR="0085616F" w:rsidRDefault="00000000">
            <w:pPr>
              <w:pStyle w:val="Compact"/>
            </w:pPr>
            <w:r>
              <w:t>Euph t(19)</w:t>
            </w:r>
          </w:p>
        </w:tc>
        <w:tc>
          <w:tcPr>
            <w:tcW w:w="0" w:type="auto"/>
          </w:tcPr>
          <w:p w14:paraId="1A34D728" w14:textId="77777777" w:rsidR="0085616F" w:rsidRDefault="00000000">
            <w:pPr>
              <w:pStyle w:val="Compact"/>
            </w:pPr>
            <w:r>
              <w:t>Euph sigma</w:t>
            </w:r>
          </w:p>
        </w:tc>
        <w:tc>
          <w:tcPr>
            <w:tcW w:w="0" w:type="auto"/>
          </w:tcPr>
          <w:p w14:paraId="782ED1F3" w14:textId="77777777" w:rsidR="0085616F" w:rsidRDefault="00000000">
            <w:pPr>
              <w:pStyle w:val="Compact"/>
            </w:pPr>
            <w:r>
              <w:t>Dram t(19)</w:t>
            </w:r>
          </w:p>
        </w:tc>
        <w:tc>
          <w:tcPr>
            <w:tcW w:w="0" w:type="auto"/>
          </w:tcPr>
          <w:p w14:paraId="37394EDD" w14:textId="77777777" w:rsidR="0085616F" w:rsidRDefault="00000000">
            <w:pPr>
              <w:pStyle w:val="Compact"/>
            </w:pPr>
            <w:r>
              <w:t>Dram sigma</w:t>
            </w:r>
          </w:p>
        </w:tc>
      </w:tr>
      <w:tr w:rsidR="0085616F" w14:paraId="4C18B857" w14:textId="77777777">
        <w:tc>
          <w:tcPr>
            <w:tcW w:w="0" w:type="auto"/>
          </w:tcPr>
          <w:p w14:paraId="29937A06" w14:textId="77777777" w:rsidR="0085616F" w:rsidRDefault="00000000">
            <w:pPr>
              <w:pStyle w:val="Compact"/>
            </w:pPr>
            <w:r>
              <w:t>gemini-2.0-flash</w:t>
            </w:r>
          </w:p>
        </w:tc>
        <w:tc>
          <w:tcPr>
            <w:tcW w:w="0" w:type="auto"/>
          </w:tcPr>
          <w:p w14:paraId="19BD01B0" w14:textId="77777777" w:rsidR="0085616F" w:rsidRDefault="00000000">
            <w:pPr>
              <w:pStyle w:val="Compact"/>
            </w:pPr>
            <w:r>
              <w:t>3.27</w:t>
            </w:r>
          </w:p>
        </w:tc>
        <w:tc>
          <w:tcPr>
            <w:tcW w:w="0" w:type="auto"/>
          </w:tcPr>
          <w:p w14:paraId="02F677AF" w14:textId="77777777" w:rsidR="0085616F" w:rsidRDefault="00000000">
            <w:pPr>
              <w:pStyle w:val="Compact"/>
            </w:pPr>
            <w:r>
              <w:t>2.9</w:t>
            </w:r>
          </w:p>
        </w:tc>
        <w:tc>
          <w:tcPr>
            <w:tcW w:w="0" w:type="auto"/>
          </w:tcPr>
          <w:p w14:paraId="445A37A3" w14:textId="77777777" w:rsidR="0085616F" w:rsidRDefault="00000000">
            <w:pPr>
              <w:pStyle w:val="Compact"/>
            </w:pPr>
            <w:r>
              <w:t>5.54</w:t>
            </w:r>
          </w:p>
        </w:tc>
        <w:tc>
          <w:tcPr>
            <w:tcW w:w="0" w:type="auto"/>
          </w:tcPr>
          <w:p w14:paraId="5415317F" w14:textId="77777777" w:rsidR="0085616F" w:rsidRDefault="00000000">
            <w:pPr>
              <w:pStyle w:val="Compact"/>
            </w:pPr>
            <w:r>
              <w:t>4.2</w:t>
            </w:r>
          </w:p>
        </w:tc>
      </w:tr>
      <w:tr w:rsidR="0085616F" w14:paraId="6803B25F" w14:textId="77777777">
        <w:tc>
          <w:tcPr>
            <w:tcW w:w="0" w:type="auto"/>
          </w:tcPr>
          <w:p w14:paraId="6B64CE53" w14:textId="77777777" w:rsidR="0085616F" w:rsidRDefault="00000000">
            <w:pPr>
              <w:pStyle w:val="Compact"/>
            </w:pPr>
            <w:r>
              <w:t>gemini-2.5-pro</w:t>
            </w:r>
          </w:p>
        </w:tc>
        <w:tc>
          <w:tcPr>
            <w:tcW w:w="0" w:type="auto"/>
          </w:tcPr>
          <w:p w14:paraId="154C3580" w14:textId="77777777" w:rsidR="0085616F" w:rsidRDefault="00000000">
            <w:pPr>
              <w:pStyle w:val="Compact"/>
            </w:pPr>
            <w:r>
              <w:t>5.34</w:t>
            </w:r>
          </w:p>
        </w:tc>
        <w:tc>
          <w:tcPr>
            <w:tcW w:w="0" w:type="auto"/>
          </w:tcPr>
          <w:p w14:paraId="27AD1FFB" w14:textId="77777777" w:rsidR="0085616F" w:rsidRDefault="00000000">
            <w:pPr>
              <w:pStyle w:val="Compact"/>
            </w:pPr>
            <w:r>
              <w:t>4.1</w:t>
            </w:r>
          </w:p>
        </w:tc>
        <w:tc>
          <w:tcPr>
            <w:tcW w:w="0" w:type="auto"/>
          </w:tcPr>
          <w:p w14:paraId="37B0A7AB" w14:textId="77777777" w:rsidR="0085616F" w:rsidRDefault="00000000">
            <w:pPr>
              <w:pStyle w:val="Compact"/>
            </w:pPr>
            <w:r>
              <w:t>3.56</w:t>
            </w:r>
          </w:p>
        </w:tc>
        <w:tc>
          <w:tcPr>
            <w:tcW w:w="0" w:type="auto"/>
          </w:tcPr>
          <w:p w14:paraId="0F1D098A" w14:textId="77777777" w:rsidR="0085616F" w:rsidRDefault="00000000">
            <w:pPr>
              <w:pStyle w:val="Compact"/>
            </w:pPr>
            <w:r>
              <w:t>3.1</w:t>
            </w:r>
          </w:p>
        </w:tc>
      </w:tr>
      <w:tr w:rsidR="0085616F" w14:paraId="2CEB8623" w14:textId="77777777">
        <w:tc>
          <w:tcPr>
            <w:tcW w:w="0" w:type="auto"/>
          </w:tcPr>
          <w:p w14:paraId="70DECC09" w14:textId="77777777" w:rsidR="0085616F" w:rsidRDefault="00000000">
            <w:pPr>
              <w:pStyle w:val="Compact"/>
            </w:pPr>
            <w:r>
              <w:t>gemini-2.5-flash</w:t>
            </w:r>
          </w:p>
        </w:tc>
        <w:tc>
          <w:tcPr>
            <w:tcW w:w="0" w:type="auto"/>
          </w:tcPr>
          <w:p w14:paraId="2E467A32" w14:textId="77777777" w:rsidR="0085616F" w:rsidRDefault="00000000">
            <w:pPr>
              <w:pStyle w:val="Compact"/>
            </w:pPr>
            <w:r>
              <w:t>1.75</w:t>
            </w:r>
          </w:p>
        </w:tc>
        <w:tc>
          <w:tcPr>
            <w:tcW w:w="0" w:type="auto"/>
          </w:tcPr>
          <w:p w14:paraId="60CA8CA1" w14:textId="77777777" w:rsidR="0085616F" w:rsidRDefault="00000000">
            <w:pPr>
              <w:pStyle w:val="Compact"/>
            </w:pPr>
            <w:r>
              <w:t>1.7</w:t>
            </w:r>
          </w:p>
        </w:tc>
        <w:tc>
          <w:tcPr>
            <w:tcW w:w="0" w:type="auto"/>
          </w:tcPr>
          <w:p w14:paraId="5581ECBB" w14:textId="77777777" w:rsidR="0085616F" w:rsidRDefault="00000000">
            <w:pPr>
              <w:pStyle w:val="Compact"/>
            </w:pPr>
            <w:r>
              <w:t>3.07</w:t>
            </w:r>
          </w:p>
        </w:tc>
        <w:tc>
          <w:tcPr>
            <w:tcW w:w="0" w:type="auto"/>
          </w:tcPr>
          <w:p w14:paraId="74639F84" w14:textId="77777777" w:rsidR="0085616F" w:rsidRDefault="00000000">
            <w:pPr>
              <w:pStyle w:val="Compact"/>
            </w:pPr>
            <w:r>
              <w:t>2.7</w:t>
            </w:r>
          </w:p>
        </w:tc>
      </w:tr>
      <w:tr w:rsidR="0085616F" w14:paraId="653DD4CD" w14:textId="77777777">
        <w:tc>
          <w:tcPr>
            <w:tcW w:w="0" w:type="auto"/>
          </w:tcPr>
          <w:p w14:paraId="6285B7DE" w14:textId="77777777" w:rsidR="0085616F" w:rsidRDefault="00000000">
            <w:pPr>
              <w:pStyle w:val="Compact"/>
            </w:pPr>
            <w:r>
              <w:t>gemini-3-flash-preview</w:t>
            </w:r>
          </w:p>
        </w:tc>
        <w:tc>
          <w:tcPr>
            <w:tcW w:w="0" w:type="auto"/>
          </w:tcPr>
          <w:p w14:paraId="3EEBA09B" w14:textId="77777777" w:rsidR="0085616F" w:rsidRDefault="00000000">
            <w:pPr>
              <w:pStyle w:val="Compact"/>
            </w:pPr>
            <w:r>
              <w:t>2.20</w:t>
            </w:r>
          </w:p>
        </w:tc>
        <w:tc>
          <w:tcPr>
            <w:tcW w:w="0" w:type="auto"/>
          </w:tcPr>
          <w:p w14:paraId="707D35CB" w14:textId="77777777" w:rsidR="0085616F" w:rsidRDefault="00000000">
            <w:pPr>
              <w:pStyle w:val="Compact"/>
            </w:pPr>
            <w:r>
              <w:t>2.0</w:t>
            </w:r>
          </w:p>
        </w:tc>
        <w:tc>
          <w:tcPr>
            <w:tcW w:w="0" w:type="auto"/>
          </w:tcPr>
          <w:p w14:paraId="0E85A4A2" w14:textId="77777777" w:rsidR="0085616F" w:rsidRDefault="00000000">
            <w:pPr>
              <w:pStyle w:val="Compact"/>
            </w:pPr>
            <w:r>
              <w:t>2.73</w:t>
            </w:r>
          </w:p>
        </w:tc>
        <w:tc>
          <w:tcPr>
            <w:tcW w:w="0" w:type="auto"/>
          </w:tcPr>
          <w:p w14:paraId="3809A64E" w14:textId="77777777" w:rsidR="0085616F" w:rsidRDefault="00000000">
            <w:pPr>
              <w:pStyle w:val="Compact"/>
            </w:pPr>
            <w:r>
              <w:t>2.5</w:t>
            </w:r>
          </w:p>
        </w:tc>
      </w:tr>
      <w:tr w:rsidR="0085616F" w14:paraId="573CEDB0" w14:textId="77777777">
        <w:tc>
          <w:tcPr>
            <w:tcW w:w="0" w:type="auto"/>
          </w:tcPr>
          <w:p w14:paraId="1019ADD8" w14:textId="77777777" w:rsidR="0085616F" w:rsidRDefault="00000000">
            <w:pPr>
              <w:pStyle w:val="Compact"/>
            </w:pPr>
            <w:r>
              <w:rPr>
                <w:b/>
                <w:bCs/>
              </w:rPr>
              <w:t>Fisher combined</w:t>
            </w:r>
          </w:p>
        </w:tc>
        <w:tc>
          <w:tcPr>
            <w:tcW w:w="0" w:type="auto"/>
          </w:tcPr>
          <w:p w14:paraId="442EE420" w14:textId="77777777" w:rsidR="0085616F" w:rsidRDefault="0085616F">
            <w:pPr>
              <w:pStyle w:val="Compact"/>
            </w:pPr>
          </w:p>
        </w:tc>
        <w:tc>
          <w:tcPr>
            <w:tcW w:w="0" w:type="auto"/>
          </w:tcPr>
          <w:p w14:paraId="55F2835B" w14:textId="77777777" w:rsidR="0085616F" w:rsidRDefault="00000000">
            <w:pPr>
              <w:pStyle w:val="Compact"/>
            </w:pPr>
            <w:r>
              <w:rPr>
                <w:b/>
                <w:bCs/>
              </w:rPr>
              <w:t>5.1</w:t>
            </w:r>
          </w:p>
        </w:tc>
        <w:tc>
          <w:tcPr>
            <w:tcW w:w="0" w:type="auto"/>
          </w:tcPr>
          <w:p w14:paraId="53A60AD5" w14:textId="77777777" w:rsidR="0085616F" w:rsidRDefault="0085616F">
            <w:pPr>
              <w:pStyle w:val="Compact"/>
            </w:pPr>
          </w:p>
        </w:tc>
        <w:tc>
          <w:tcPr>
            <w:tcW w:w="0" w:type="auto"/>
          </w:tcPr>
          <w:p w14:paraId="23FA5FE1" w14:textId="77777777" w:rsidR="0085616F" w:rsidRDefault="00000000">
            <w:pPr>
              <w:pStyle w:val="Compact"/>
            </w:pPr>
            <w:r>
              <w:rPr>
                <w:b/>
                <w:bCs/>
              </w:rPr>
              <w:t>5.8</w:t>
            </w:r>
          </w:p>
        </w:tc>
      </w:tr>
      <w:tr w:rsidR="0085616F" w14:paraId="6B54BA88" w14:textId="77777777">
        <w:tc>
          <w:tcPr>
            <w:tcW w:w="0" w:type="auto"/>
          </w:tcPr>
          <w:p w14:paraId="5777668E" w14:textId="77777777" w:rsidR="0085616F" w:rsidRDefault="00000000">
            <w:pPr>
              <w:pStyle w:val="Compact"/>
            </w:pPr>
            <w:r>
              <w:rPr>
                <w:b/>
                <w:bCs/>
              </w:rPr>
              <w:t>All 8 tests</w:t>
            </w:r>
          </w:p>
        </w:tc>
        <w:tc>
          <w:tcPr>
            <w:tcW w:w="0" w:type="auto"/>
          </w:tcPr>
          <w:p w14:paraId="1AA64BD3" w14:textId="77777777" w:rsidR="0085616F" w:rsidRDefault="0085616F">
            <w:pPr>
              <w:pStyle w:val="Compact"/>
            </w:pPr>
          </w:p>
        </w:tc>
        <w:tc>
          <w:tcPr>
            <w:tcW w:w="0" w:type="auto"/>
          </w:tcPr>
          <w:p w14:paraId="78B7A940" w14:textId="77777777" w:rsidR="0085616F" w:rsidRDefault="0085616F">
            <w:pPr>
              <w:pStyle w:val="Compact"/>
            </w:pPr>
          </w:p>
        </w:tc>
        <w:tc>
          <w:tcPr>
            <w:tcW w:w="0" w:type="auto"/>
          </w:tcPr>
          <w:p w14:paraId="38E50705" w14:textId="77777777" w:rsidR="0085616F" w:rsidRDefault="0085616F">
            <w:pPr>
              <w:pStyle w:val="Compact"/>
            </w:pPr>
          </w:p>
        </w:tc>
        <w:tc>
          <w:tcPr>
            <w:tcW w:w="0" w:type="auto"/>
          </w:tcPr>
          <w:p w14:paraId="454B0D94" w14:textId="77777777" w:rsidR="0085616F" w:rsidRDefault="00000000">
            <w:pPr>
              <w:pStyle w:val="Compact"/>
            </w:pPr>
            <w:r>
              <w:rPr>
                <w:b/>
                <w:bCs/>
              </w:rPr>
              <w:t>7.6</w:t>
            </w:r>
          </w:p>
        </w:tc>
      </w:tr>
    </w:tbl>
    <w:p w14:paraId="2C84F675" w14:textId="77777777" w:rsidR="0085616F" w:rsidRDefault="00000000">
      <w:pPr>
        <w:pStyle w:val="BodyText"/>
      </w:pPr>
      <w:r>
        <w:lastRenderedPageBreak/>
        <w:t>Cross-family validation: Claude Sonnet shows euphemistic MAD=8.8, drift=-8.8 on the same probes, confirming the effect is not Gemini-specific.</w:t>
      </w:r>
    </w:p>
    <w:p w14:paraId="03EFB482" w14:textId="77777777" w:rsidR="0085616F" w:rsidRDefault="00000000">
      <w:pPr>
        <w:pStyle w:val="BodyText"/>
      </w:pPr>
      <w:r>
        <w:t>Every model, every framing direction, every run shows the same pattern: euphemistic language reduces perceived harm; dramatic language increases it. The stochastic control establishes that this is not model noise.</w:t>
      </w:r>
    </w:p>
    <w:p w14:paraId="1DEC9614" w14:textId="77777777" w:rsidR="0085616F" w:rsidRDefault="00000000">
      <w:pPr>
        <w:pStyle w:val="Heading3"/>
      </w:pPr>
      <w:bookmarkStart w:id="6" w:name="t2-t4-null-results-are-informative"/>
      <w:bookmarkEnd w:id="5"/>
      <w:r>
        <w:t>T2-T4: Null Results Are Informative</w:t>
      </w:r>
    </w:p>
    <w:p w14:paraId="18462F3F" w14:textId="77777777" w:rsidR="0085616F" w:rsidRDefault="00000000">
      <w:pPr>
        <w:pStyle w:val="FirstParagraph"/>
      </w:pPr>
      <w:r>
        <w:t>Gender invariance holds across all models (z=-0.3 to -1.2). Cultural reframe and path-dependence show marginal effects (2-3 sigma individually, 3.1 sigma combined for T3). Dimension-order effects do not exceed stochastic baseline.</w:t>
      </w:r>
    </w:p>
    <w:p w14:paraId="578F3D48" w14:textId="77777777" w:rsidR="0085616F" w:rsidRDefault="00000000">
      <w:pPr>
        <w:pStyle w:val="BodyText"/>
      </w:pPr>
      <w:r>
        <w:t>These nulls are methodologically significant. Previous benchmarks reported “8.8 sigma invariance violations” by testing against a null of zero rather than empirical controls. With proper controls, most of these effects vanish — demonstrating that benchmark methodology matters more than sample size.</w:t>
      </w:r>
    </w:p>
    <w:p w14:paraId="2D2ED23E" w14:textId="77777777" w:rsidR="0085616F" w:rsidRDefault="00000000">
      <w:pPr>
        <w:pStyle w:val="Heading3"/>
      </w:pPr>
      <w:bookmarkStart w:id="7" w:name="probes-validate-the-framework"/>
      <w:bookmarkEnd w:id="6"/>
      <w:r>
        <w:t>Probes Validate the Framework</w:t>
      </w:r>
    </w:p>
    <w:p w14:paraId="78445B41" w14:textId="77777777" w:rsidR="0085616F" w:rsidRDefault="00000000">
      <w:pPr>
        <w:pStyle w:val="FirstParagraph"/>
      </w:pPr>
      <w:r>
        <w:t>Engineered minimal pairs — where content preservation is guaranteed by construction — show 75-100% model agreement across all tests. This is the positive control: when transformations truly preserve moral content, models are stable. The T5 framing effect is therefore genuine sensitivity to tone, not an artifact of imperfect transformations.</w:t>
      </w:r>
    </w:p>
    <w:p w14:paraId="716DB86F" w14:textId="77777777" w:rsidR="0085616F" w:rsidRDefault="00000000">
      <w:pPr>
        <w:pStyle w:val="Heading2"/>
      </w:pPr>
      <w:bookmarkStart w:id="8" w:name="why-this-measures-progress-toward-agi"/>
      <w:bookmarkEnd w:id="4"/>
      <w:bookmarkEnd w:id="7"/>
      <w:r>
        <w:t>Why This Measures Progress Toward AGI</w:t>
      </w:r>
    </w:p>
    <w:p w14:paraId="194962DA" w14:textId="77777777" w:rsidR="0085616F" w:rsidRDefault="00000000">
      <w:pPr>
        <w:pStyle w:val="FirstParagraph"/>
      </w:pPr>
      <w:r>
        <w:t>A system approaching general intelligence should exhibit stable moral reasoning: consistent under irrelevant surface changes (gender, cultural framing), sensitive to genuinely relevant changes (new facts), and robust to emotional manipulation. Our benchmark operationalizes these properties as testable geometric predictions.</w:t>
      </w:r>
    </w:p>
    <w:p w14:paraId="2F6207A8" w14:textId="77777777" w:rsidR="0085616F" w:rsidRDefault="00000000">
      <w:pPr>
        <w:pStyle w:val="BodyText"/>
      </w:pPr>
      <w:r>
        <w:t>The finding that current frontier models shift harm perception by ~35% of the scale range based purely on tone — while keeping all facts identical — identifies a specific, measurable gap between current systems and robust moral cognition. This is not a vague capability claim; it is a quantified structural deficit with a clear metric for tracking improvement over time.</w:t>
      </w:r>
    </w:p>
    <w:p w14:paraId="5ECC964A" w14:textId="77777777" w:rsidR="0085616F" w:rsidRDefault="00000000">
      <w:pPr>
        <w:pStyle w:val="BodyText"/>
      </w:pPr>
      <w:r>
        <w:t>As models improve, we predict: T5 framing sensitivity should decrease (harm assessments should become tone-invariant), T2/T3 marginal effects should remain null (models are already mostly invariant under surface changes), and T1 accuracy should increase (better alignment with human moral consensus).</w:t>
      </w:r>
    </w:p>
    <w:p w14:paraId="69AE820D" w14:textId="77777777" w:rsidR="0085616F" w:rsidRDefault="00000000">
      <w:pPr>
        <w:pStyle w:val="Heading2"/>
      </w:pPr>
      <w:bookmarkStart w:id="9" w:name="limitations"/>
      <w:bookmarkEnd w:id="8"/>
      <w:r>
        <w:t>Limitations</w:t>
      </w:r>
    </w:p>
    <w:p w14:paraId="66C01F83" w14:textId="77777777" w:rsidR="0085616F" w:rsidRDefault="00000000">
      <w:pPr>
        <w:pStyle w:val="FirstParagraph"/>
      </w:pPr>
      <w:r>
        <w:t xml:space="preserve">This is a pilot benchmark, not a definitive study. Sample sizes are small (10-20 scenarios per test). The full suite runs on Gemini-family models only; cross-family validation covers </w:t>
      </w:r>
      <w:r>
        <w:lastRenderedPageBreak/>
        <w:t>T5 probes only. Control arms (3 reps) provide a stochastic floor but not a full variance model. Transformations — even hand-audited ones — may alter moral salience in ways we cannot fully control. T2-T5 force Dear Abby letters into AITA verdict categories, measuring self-consistency under our framing rather than external correctness.</w:t>
      </w:r>
    </w:p>
    <w:p w14:paraId="7385C8EA" w14:textId="77777777" w:rsidR="0085616F" w:rsidRDefault="00000000">
      <w:pPr>
        <w:pStyle w:val="Heading2"/>
      </w:pPr>
      <w:bookmarkStart w:id="10" w:name="reproducibility"/>
      <w:bookmarkEnd w:id="9"/>
      <w:r>
        <w:t>Reproducibility</w:t>
      </w:r>
    </w:p>
    <w:p w14:paraId="6E79C186" w14:textId="77777777" w:rsidR="0085616F" w:rsidRDefault="00000000">
      <w:pPr>
        <w:pStyle w:val="FirstParagraph"/>
      </w:pPr>
      <w:r>
        <w:t xml:space="preserve">The benchmark runs in a single Kaggle Benchmark cell in under 60 minutes for ~$25 of API credits. All code, data, gold-set transformations, and engineered probes are embedded in the notebook. No external dependencies beyond </w:t>
      </w:r>
      <w:r>
        <w:rPr>
          <w:rStyle w:val="VerbatimChar"/>
        </w:rPr>
        <w:t>kaggle_benchmarks</w:t>
      </w:r>
      <w:r>
        <w:t xml:space="preserve"> and </w:t>
      </w:r>
      <w:r>
        <w:rPr>
          <w:rStyle w:val="VerbatimChar"/>
        </w:rPr>
        <w:t>datasets</w:t>
      </w:r>
      <w:r>
        <w:t>.</w:t>
      </w:r>
      <w:bookmarkEnd w:id="0"/>
      <w:bookmarkEnd w:id="10"/>
    </w:p>
    <w:sectPr w:rsidR="0085616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82C12B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27905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5616F"/>
    <w:rsid w:val="0085616F"/>
    <w:rsid w:val="00EA07F8"/>
    <w:rsid w:val="00F53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5AA30"/>
  <w15:docId w15:val="{C665E6F1-9533-4850-B7B7-728662E1A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1164</Words>
  <Characters>6641</Characters>
  <Application>Microsoft Office Word</Application>
  <DocSecurity>0</DocSecurity>
  <Lines>55</Lines>
  <Paragraphs>15</Paragraphs>
  <ScaleCrop>false</ScaleCrop>
  <Company/>
  <LinksUpToDate>false</LinksUpToDate>
  <CharactersWithSpaces>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Andrew Bond</cp:lastModifiedBy>
  <cp:revision>2</cp:revision>
  <dcterms:created xsi:type="dcterms:W3CDTF">2026-03-20T05:10:00Z</dcterms:created>
  <dcterms:modified xsi:type="dcterms:W3CDTF">2026-03-20T05:14:00Z</dcterms:modified>
</cp:coreProperties>
</file>