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2b045ee3420be95392cd0928904d765fcaff4c"/>
    <w:p>
      <w:pPr>
        <w:pStyle w:val="Heading3"/>
      </w:pPr>
      <w:r>
        <w:t xml:space="preserve">Geometric Attention: Distractor Dose-Response in Moral Cognition</w:t>
      </w:r>
    </w:p>
    <w:bookmarkEnd w:id="9"/>
    <w:bookmarkStart w:id="10" w:name="team"/>
    <w:p>
      <w:pPr>
        <w:pStyle w:val="Heading3"/>
      </w:pPr>
      <w:r>
        <w:t xml:space="preserve">Team</w:t>
      </w:r>
    </w:p>
    <w:p>
      <w:pPr>
        <w:pStyle w:val="FirstParagraph"/>
      </w:pPr>
      <w:r>
        <w:t xml:space="preserve">Andrew H. Bond, Sr. Member IEEE, San Jose State University</w:t>
      </w:r>
    </w:p>
    <w:bookmarkEnd w:id="10"/>
    <w:bookmarkStart w:id="11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Standard attention tests ask a binary question: did the model find the needle in the haystack? This benchmark asks a richer question aligned with Google DeepMind’s cognitive framework [1]:</w:t>
      </w:r>
      <w:r>
        <w:t xml:space="preserve"> </w:t>
      </w:r>
      <w:r>
        <w:rPr>
          <w:i/>
          <w:iCs/>
        </w:rPr>
        <w:t xml:space="preserve">how does moral judgment change when irrelevant information is introduced at different intensities, and can a metacognitive warning undo the damage?</w:t>
      </w:r>
    </w:p>
    <w:p>
      <w:pPr>
        <w:pStyle w:val="BodyText"/>
      </w:pPr>
      <w:r>
        <w:t xml:space="preserve">We map the</w:t>
      </w:r>
      <w:r>
        <w:t xml:space="preserve"> </w:t>
      </w:r>
      <w:r>
        <w:rPr>
          <w:b/>
          <w:bCs/>
        </w:rPr>
        <w:t xml:space="preserve">attention robustness surface</w:t>
      </w:r>
      <w:r>
        <w:t xml:space="preserve"> </w:t>
      </w:r>
      <w:r>
        <w:t xml:space="preserve">— the function from perturbation intensity to judgment displacement — across four sub-capabilities: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A1 (Distractor Resistance):</w:t>
      </w:r>
      <w:r>
        <w:t xml:space="preserve"> </w:t>
      </w:r>
      <w:r>
        <w:t xml:space="preserve">Graded dose-response: vivid vs. mild distractors measure sensitivity as a function of intensity. Can an explicit warning restore the neutral position? (Headline: 5.0σ)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A2 (Length Robustness):</w:t>
      </w:r>
      <w:r>
        <w:t xml:space="preserve"> </w:t>
      </w:r>
      <w:r>
        <w:t xml:space="preserve">Does neutral padding (2×, 4× length) displace judgment?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A3 (Selective Attention):</w:t>
      </w:r>
      <w:r>
        <w:t xml:space="preserve"> </w:t>
      </w:r>
      <w:r>
        <w:t xml:space="preserve">Signal-to-noise ratio across 7 moral dimensions with ground-truth relevance labels.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A4 (Divided Attention):</w:t>
      </w:r>
      <w:r>
        <w:t xml:space="preserve"> </w:t>
      </w:r>
      <w:r>
        <w:t xml:space="preserve">Does interleaving two scenarios in one prompt displace verdicts vs. individual evaluation?</w:t>
      </w:r>
    </w:p>
    <w:p>
      <w:pPr>
        <w:pStyle w:val="FirstParagraph"/>
      </w:pPr>
      <w:r>
        <w:rPr>
          <w:b/>
          <w:bCs/>
        </w:rPr>
        <w:t xml:space="preserve">Ground truth is defined by invariance.</w:t>
      </w:r>
      <w:r>
        <w:t xml:space="preserve"> </w:t>
      </w:r>
      <w:r>
        <w:t xml:space="preserve">Distractors are morally irrelevant by construction — vivid sensory details (weather, food, sounds) woven into moral scenarios while preserving all facts, parties, and actions. Any displacement is an unambiguous measurement.</w:t>
      </w:r>
    </w:p>
    <w:bookmarkEnd w:id="11"/>
    <w:bookmarkStart w:id="12" w:name="task-benchmark-construction"/>
    <w:p>
      <w:pPr>
        <w:pStyle w:val="Heading3"/>
      </w:pPr>
      <w:r>
        <w:t xml:space="preserve">Task &amp; Benchmark Construction</w:t>
      </w:r>
    </w:p>
    <w:p>
      <w:pPr>
        <w:pStyle w:val="FirstParagraph"/>
      </w:pPr>
      <w:r>
        <w:rPr>
          <w:b/>
          <w:bCs/>
        </w:rPr>
        <w:t xml:space="preserve">Graded adversarial probing (A1, headline).</w:t>
      </w:r>
      <w:r>
        <w:t xml:space="preserve"> </w:t>
      </w:r>
      <w:r>
        <w:t xml:space="preserve">Distractors are applied at two intensities — vivid (dramatic sensory immersion) and mild (mundane contextual details). The dose-response curve maps the robustness surface: informative models show vivid_flip &gt; mild_flip &gt; control. A warned condition tests metacognitive recoverability — whether the model can return to its undistorted position when told to ignore irrelevant details.</w:t>
      </w:r>
    </w:p>
    <w:p>
      <w:pPr>
        <w:pStyle w:val="BodyText"/>
      </w:pPr>
      <w:r>
        <w:rPr>
          <w:b/>
          <w:bCs/>
        </w:rPr>
        <w:t xml:space="preserve">Three-tier data architecture.</w:t>
      </w:r>
      <w:r>
        <w:t xml:space="preserve"> </w:t>
      </w:r>
      <w:r>
        <w:t xml:space="preserve">(1) Gold: 6 hand-written distractor scenarios with audited morally irrelevant detail. (2) Probe: 6 synthetic minimal pairs. (3) Generated: 30 Dear Abby scenarios with distractors from a fixed transformer (Gemini 2.0 Flash). Stimulus generation is separated from judgment.</w:t>
      </w:r>
    </w:p>
    <w:p>
      <w:pPr>
        <w:pStyle w:val="BodyText"/>
      </w:pPr>
      <w:r>
        <w:rPr>
          <w:b/>
          <w:bCs/>
        </w:rPr>
        <w:t xml:space="preserve">Divided attention (A4).</w:t>
      </w:r>
      <w:r>
        <w:t xml:space="preserve"> </w:t>
      </w:r>
      <w:r>
        <w:t xml:space="preserve">20 scenario pairs: each scenario judged individually, then both interleaved in a single prompt. Verdict changes under interleaving measure attentional interference — whether the model’s judgment of scenario A is contaminated by simultaneously processing scenario B.</w:t>
      </w:r>
    </w:p>
    <w:p>
      <w:pPr>
        <w:pStyle w:val="BodyText"/>
      </w:pPr>
      <w:r>
        <w:rPr>
          <w:b/>
          <w:bCs/>
        </w:rPr>
        <w:t xml:space="preserve">Statistical controls.</w:t>
      </w:r>
      <w:r>
        <w:t xml:space="preserve"> </w:t>
      </w:r>
      <w:r>
        <w:t xml:space="preserve">5-replication control arms. Significance against empirical stochastic baselines (not null=0). Wilson 95% CIs. Fisher combination across 5 models.</w:t>
      </w:r>
    </w:p>
    <w:bookmarkEnd w:id="12"/>
    <w:bookmarkStart w:id="13" w:name="dataset"/>
    <w:p>
      <w:pPr>
        <w:pStyle w:val="Heading3"/>
      </w:pPr>
      <w:r>
        <w:t xml:space="preserve">Dataset</w:t>
      </w:r>
    </w:p>
    <w:p>
      <w:pPr>
        <w:pStyle w:val="FirstParagraph"/>
      </w:pPr>
      <w:r>
        <w:rPr>
          <w:b/>
          <w:bCs/>
        </w:rPr>
        <w:t xml:space="preserve">Dear Abby (embedded).</w:t>
      </w:r>
      <w:r>
        <w:t xml:space="preserve"> </w:t>
      </w:r>
      <w:r>
        <w:t xml:space="preserve">50 curated advice-column scenarios. A1 (gold + generated tiers, 36 total), A2 (6 scenarios at 1×/2×/4× length), A3 (6 scenarios with hand-labeled dimension relevance), A4 (20 scenario pairs).</w:t>
      </w:r>
    </w:p>
    <w:p>
      <w:pPr>
        <w:pStyle w:val="BodyText"/>
      </w:pPr>
      <w:r>
        <w:rPr>
          <w:b/>
          <w:bCs/>
        </w:rPr>
        <w:t xml:space="preserve">Gold distractors (embedded).</w:t>
      </w:r>
      <w:r>
        <w:t xml:space="preserve"> </w:t>
      </w:r>
      <w:r>
        <w:t xml:space="preserve">6 hand-written scenarios with vivid irrelevant sensory detail, each annotated with what moral content is preserved and what sensory detail is added.</w:t>
      </w:r>
    </w:p>
    <w:bookmarkEnd w:id="13"/>
    <w:bookmarkStart w:id="14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 </w:t>
      </w:r>
      <w:r>
        <w:t xml:space="preserve">5 full-suite (Gemini 2.0 Flash, 2.5 Flash, 3 Flash Preview, 2.5 Pro, Claude Sonnet 4.6). All responses use schema-enforced structured output (verdict, confidence 0–10, 7-dimensional harm vector).</w:t>
      </w:r>
    </w:p>
    <w:p>
      <w:pPr>
        <w:pStyle w:val="BodyText"/>
      </w:pPr>
      <w:r>
        <w:rPr>
          <w:b/>
          <w:bCs/>
        </w:rPr>
        <w:t xml:space="preserve">A1 scoring.</w:t>
      </w:r>
      <w:r>
        <w:t xml:space="preserve"> </w:t>
      </w:r>
      <w:r>
        <w:rPr>
          <w:rStyle w:val="VerbatimChar"/>
        </w:rPr>
        <w:t xml:space="preserve">0.35 × resistance + 0.25 × recovery + 0.15 × (1 − severity_shift) + 0.15 × (1 − mild_flip) + graded_bonus</w:t>
      </w:r>
      <w:r>
        <w:t xml:space="preserve">. Resistance is weighted highest as the primary attention metric; recovery measures metacognitive correction; graded_bonus rewards proportional dose-response (vivid &gt; mild &gt; control). Sensitivity analysis confirms model rankings are stable under ±50% weight perturbation.</w:t>
      </w:r>
    </w:p>
    <w:p>
      <w:pPr>
        <w:pStyle w:val="BodyText"/>
      </w:pPr>
      <w:r>
        <w:rPr>
          <w:b/>
          <w:bCs/>
        </w:rPr>
        <w:t xml:space="preserve">Budget.</w:t>
      </w:r>
      <w:r>
        <w:t xml:space="preserve"> </w:t>
      </w:r>
      <w:r>
        <w:t xml:space="preserve">~$32 of $44 remaining quota. ~1,800+ API calls across 5 full-suite models. Runtime: 65 minutes. CSMA/CA-style adaptive concurrency (50 initial workers, backoff on failure).</w:t>
      </w:r>
    </w:p>
    <w:bookmarkEnd w:id="14"/>
    <w:bookmarkStart w:id="15" w:name="results-insights-and-conclusions"/>
    <w:p>
      <w:pPr>
        <w:pStyle w:val="Heading3"/>
      </w:pPr>
      <w:r>
        <w:t xml:space="preserve">Results, Insights, and Conclusions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A1: Distract</w:t>
            </w:r>
          </w:p>
        </w:tc>
        <w:tc>
          <w:tcPr/>
          <w:p>
            <w:pPr>
              <w:pStyle w:val="Compact"/>
            </w:pPr>
            <w:r>
              <w:t xml:space="preserve">A2: Length</w:t>
            </w:r>
          </w:p>
        </w:tc>
        <w:tc>
          <w:tcPr/>
          <w:p>
            <w:pPr>
              <w:pStyle w:val="Compact"/>
            </w:pPr>
            <w:r>
              <w:t xml:space="preserve">A3: Select</w:t>
            </w:r>
          </w:p>
        </w:tc>
        <w:tc>
          <w:tcPr/>
          <w:p>
            <w:pPr>
              <w:pStyle w:val="Compact"/>
            </w:pPr>
            <w:r>
              <w:t xml:space="preserve">A4: Divide</w:t>
            </w:r>
          </w:p>
        </w:tc>
        <w:tc>
          <w:tcPr/>
          <w:p>
            <w:pPr>
              <w:pStyle w:val="Compact"/>
            </w:pPr>
            <w:r>
              <w:t xml:space="preserve">Composite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0.905</w:t>
            </w:r>
          </w:p>
        </w:tc>
        <w:tc>
          <w:tcPr/>
          <w:p>
            <w:pPr>
              <w:pStyle w:val="Compact"/>
            </w:pPr>
            <w: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0.747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0.700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0.625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0.669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0.651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  <w:tc>
          <w:tcPr/>
          <w:p>
            <w:pPr>
              <w:pStyle w:val="Compact"/>
            </w:pPr>
            <w:r>
              <w:t xml:space="preserve">0.687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Per-model A1 sigma values (paired t-test, df=20):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Distractor σ</w:t>
            </w:r>
          </w:p>
        </w:tc>
        <w:tc>
          <w:tcPr/>
          <w:p>
            <w:pPr>
              <w:pStyle w:val="Compact"/>
            </w:pPr>
            <w:r>
              <w:t xml:space="preserve">Warned σ</w:t>
            </w:r>
          </w:p>
        </w:tc>
        <w:tc>
          <w:tcPr/>
          <w:p>
            <w:pPr>
              <w:pStyle w:val="Compact"/>
            </w:pPr>
            <w:r>
              <w:t xml:space="preserve">Recovery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4.2σ</w:t>
            </w:r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4.3σ</w:t>
            </w:r>
            <w:r>
              <w:t xml:space="preserve"> </w:t>
            </w:r>
            <w: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5/14 (36%)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3.2σ ***</w:t>
            </w:r>
          </w:p>
        </w:tc>
        <w:tc>
          <w:tcPr/>
          <w:p>
            <w:pPr>
              <w:pStyle w:val="Compact"/>
            </w:pPr>
            <w:r>
              <w:t xml:space="preserve">3.7σ ***</w:t>
            </w:r>
          </w:p>
        </w:tc>
        <w:tc>
          <w:tcPr/>
          <w:p>
            <w:pPr>
              <w:pStyle w:val="Compact"/>
            </w:pPr>
            <w:r>
              <w:t xml:space="preserve">1/7 (14%)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</w:pPr>
            <w:r>
              <w:t xml:space="preserve">1.1σ</w:t>
            </w:r>
          </w:p>
        </w:tc>
        <w:tc>
          <w:tcPr/>
          <w:p>
            <w:pPr>
              <w:pStyle w:val="Compact"/>
            </w:pPr>
            <w:r>
              <w:t xml:space="preserve">2.9σ **</w:t>
            </w:r>
          </w:p>
        </w:tc>
        <w:tc>
          <w:tcPr/>
          <w:p>
            <w:pPr>
              <w:pStyle w:val="Compact"/>
            </w:pPr>
            <w:r>
              <w:t xml:space="preserve">2/6 (33%)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t xml:space="preserve">1.7σ *</w:t>
            </w:r>
          </w:p>
        </w:tc>
        <w:tc>
          <w:tcPr/>
          <w:p>
            <w:pPr>
              <w:pStyle w:val="Compact"/>
            </w:pPr>
            <w:r>
              <w:t xml:space="preserve">2.3σ **</w:t>
            </w:r>
          </w:p>
        </w:tc>
        <w:tc>
          <w:tcPr/>
          <w:p>
            <w:pPr>
              <w:pStyle w:val="Compact"/>
            </w:pPr>
            <w:r>
              <w:t xml:space="preserve">5/10 (50%)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1.0σ</w:t>
            </w:r>
          </w:p>
        </w:tc>
        <w:tc>
          <w:tcPr/>
          <w:p>
            <w:pPr>
              <w:pStyle w:val="Compact"/>
            </w:pPr>
            <w:r>
              <w:t xml:space="preserve">0.9σ</w:t>
            </w:r>
          </w:p>
        </w:tc>
        <w:tc>
          <w:tcPr/>
          <w:p>
            <w:pPr>
              <w:pStyle w:val="Compact"/>
            </w:pPr>
            <w:r>
              <w:t xml:space="preserve">1/3 (33%)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this benchmark reveals that prior evaluations cannot:</w:t>
      </w:r>
    </w:p>
    <w:p>
      <w:pPr>
        <w:pStyle w:val="BodyText"/>
      </w:pPr>
      <w:r>
        <w:rPr>
          <w:b/>
          <w:bCs/>
        </w:rPr>
        <w:t xml:space="preserve">1. Vivid distractors shift judgment at 5.0σ (A1).</w:t>
      </w:r>
      <w:r>
        <w:t xml:space="preserve"> </w:t>
      </w:r>
      <w:r>
        <w:t xml:space="preserve">Fisher combination across 5 models (5 independent distractor tests). Claude shows the strongest individual effect (4.2σ distractor, 4.3σ warned — both highly significant). The signal is robust across architecture families (Gemini + Claude) and strengthens from the prior 4.6σ finding with all models now running full A1–A4 suites.</w:t>
      </w:r>
    </w:p>
    <w:p>
      <w:pPr>
        <w:pStyle w:val="BodyText"/>
      </w:pPr>
      <w:r>
        <w:rPr>
          <w:b/>
          <w:bCs/>
        </w:rPr>
        <w:t xml:space="preserve">2. The dose-response is graded — informatively.</w:t>
      </w:r>
      <w:r>
        <w:t xml:space="preserve"> </w:t>
      </w:r>
      <w:r>
        <w:t xml:space="preserve">Gemini 3 Flash and Claude are the only models showing correct vivid &gt; mild &gt; control grading. Models are not simply unstable; those with genuine attentional discrimination exhibit proportional sensitivity to distractor intensity. This graded structure distinguishes distraction from noise and identifies which models possess fine-grained attentional control.</w:t>
      </w:r>
    </w:p>
    <w:p>
      <w:pPr>
        <w:pStyle w:val="BodyText"/>
      </w:pPr>
      <w:r>
        <w:rPr>
          <w:b/>
          <w:bCs/>
        </w:rPr>
        <w:t xml:space="preserve">3. Warning recovers ~33% of displaced verdicts.</w:t>
      </w:r>
      <w:r>
        <w:t xml:space="preserve"> </w:t>
      </w:r>
      <w:r>
        <w:t xml:space="preserve">An explicit instruction to ignore irrelevant details restores the original verdict about one in three times. Recovery rates vary widely: Gemini 2.5 Flash recovers 50%, while Gemini 2.0 Flash recovers only 14%. This range reveals qualitatively different metacognitive architectures — some models can partially introspect on their own attention failures; others cannot. The ~33% ceiling sets a practical bound on prompt-level attention interventions.</w:t>
      </w:r>
    </w:p>
    <w:p>
      <w:pPr>
        <w:pStyle w:val="BodyText"/>
      </w:pPr>
      <w:r>
        <w:rPr>
          <w:b/>
          <w:bCs/>
        </w:rPr>
        <w:t xml:space="preserve">4. Claude’s individual sigma dominance.</w:t>
      </w:r>
      <w:r>
        <w:t xml:space="preserve"> </w:t>
      </w:r>
      <w:r>
        <w:t xml:space="preserve">Claude Sonnet 4.6 produces the highest individual distractor sigma (4.2σ) and warned sigma (4.3σ) of any model — meaning its judgments are</w:t>
      </w:r>
      <w:r>
        <w:t xml:space="preserve"> </w:t>
      </w:r>
      <w:r>
        <w:rPr>
          <w:i/>
          <w:iCs/>
        </w:rPr>
        <w:t xml:space="preserve">most displaced</w:t>
      </w:r>
      <w:r>
        <w:t xml:space="preserve"> </w:t>
      </w:r>
      <w:r>
        <w:t xml:space="preserve">by vivid distractors, even though its composite A1 score (0.690) is strong due to correct dose-response grading and moderate recovery (36%). This dissociation between displacement magnitude and composite robustness is itself informative: Claude attends deeply to sensory detail (high displacement) but also discriminates intensity (correct grading).</w:t>
      </w:r>
    </w:p>
    <w:p>
      <w:pPr>
        <w:pStyle w:val="BodyText"/>
      </w:pPr>
      <w:r>
        <w:rPr>
          <w:b/>
          <w:bCs/>
        </w:rPr>
        <w:t xml:space="preserve">5. Divided attention improves but the architectural split persists (A4).</w:t>
      </w:r>
      <w:r>
        <w:t xml:space="preserve"> </w:t>
      </w:r>
      <w:r>
        <w:t xml:space="preserve">Claude’s divided attention score improves from 0.571 → 0.700 with the full suite, but remains the weakest. Gemini 3 Flash (0.975) and Gemini 2.5 Pro (1.000) show near-perfect dual-task stability. The 0.300 spread (Pro vs. Claude) remains the strongest single-test discriminator across all 5 benchmarks.</w:t>
      </w:r>
    </w:p>
    <w:p>
      <w:pPr>
        <w:pStyle w:val="BodyText"/>
      </w:pPr>
      <w:r>
        <w:rPr>
          <w:b/>
          <w:bCs/>
        </w:rPr>
        <w:t xml:space="preserve">6. Length robustness is strong (A2) — a validating null result.</w:t>
      </w:r>
      <w:r>
        <w:t xml:space="preserve"> </w:t>
      </w:r>
      <w:r>
        <w:t xml:space="preserve">Neutral padding at 2× and 4× produces minimal displacement (scores 0.676–0.905). Gemini 2.0 Flash leads at 0.905. This confirms the benchmark isolates</w:t>
      </w:r>
      <w:r>
        <w:t xml:space="preserve"> </w:t>
      </w:r>
      <w:r>
        <w:rPr>
          <w:i/>
          <w:iCs/>
        </w:rPr>
        <w:t xml:space="preserve">content-based</w:t>
      </w:r>
      <w:r>
        <w:t xml:space="preserve"> </w:t>
      </w:r>
      <w:r>
        <w:t xml:space="preserve">attention failures (A1, A4) from</w:t>
      </w:r>
      <w:r>
        <w:t xml:space="preserve"> </w:t>
      </w:r>
      <w:r>
        <w:rPr>
          <w:i/>
          <w:iCs/>
        </w:rPr>
        <w:t xml:space="preserve">length-based</w:t>
      </w:r>
      <w:r>
        <w:t xml:space="preserve"> </w:t>
      </w:r>
      <w:r>
        <w:t xml:space="preserve">ones, validating that A1 and A4 signals are genuine.</w:t>
      </w:r>
    </w:p>
    <w:p>
      <w:pPr>
        <w:pStyle w:val="BodyText"/>
      </w:pPr>
      <w:r>
        <w:rPr>
          <w:b/>
          <w:bCs/>
        </w:rPr>
        <w:t xml:space="preserve">Cross-track insight:</w:t>
      </w:r>
      <w:r>
        <w:t xml:space="preserve"> </w:t>
      </w:r>
      <w:r>
        <w:t xml:space="preserve">Claude’s narrow-channel signature is confirmed at full-suite level: highest individual distractor sensitivity (4.2σ), correct dose-response grading, but worst divided attention (0.700). This contrasts with its zero sycophancy in the Learning benchmark (L2 wrong-flip=0%) — proving that</w:t>
      </w:r>
      <w:r>
        <w:t xml:space="preserve"> </w:t>
      </w:r>
      <w:r>
        <w:t xml:space="preserve">“robustness”</w:t>
      </w:r>
      <w:r>
        <w:t xml:space="preserve"> </w:t>
      </w:r>
      <w:r>
        <w:t xml:space="preserve">is not a single axis. Claude resists social pressure perfectly but is deeply affected by sensory salience. Per-capability profiling across cognitive domains reveals structure invisible to any single benchmark.</w:t>
      </w:r>
    </w:p>
    <w:bookmarkEnd w:id="15"/>
    <w:bookmarkStart w:id="16" w:name="organizational-affiliations"/>
    <w:p>
      <w:pPr>
        <w:pStyle w:val="Heading3"/>
      </w:pPr>
      <w:r>
        <w:t xml:space="preserve">Organizational Affiliations</w:t>
      </w:r>
    </w:p>
    <w:p>
      <w:pPr>
        <w:pStyle w:val="FirstParagraph"/>
      </w:pPr>
      <w:r>
        <w:t xml:space="preserve">San Jose State University, Department of Computer Engineering</w:t>
      </w:r>
    </w:p>
    <w:bookmarkEnd w:id="16"/>
    <w:bookmarkStart w:id="17" w:name="references-citations"/>
    <w:p>
      <w:pPr>
        <w:pStyle w:val="Heading3"/>
      </w:pPr>
      <w:r>
        <w:t xml:space="preserve">References &amp; Citations</w:t>
      </w:r>
    </w:p>
    <w:p>
      <w:pPr>
        <w:pStyle w:val="Compact"/>
        <w:numPr>
          <w:ilvl w:val="0"/>
          <w:numId w:val="1002"/>
        </w:numPr>
      </w:pPr>
      <w:r>
        <w:t xml:space="preserve">Google DeepMind (2026).</w:t>
      </w:r>
      <w:r>
        <w:t xml:space="preserve"> </w:t>
      </w:r>
      <w:r>
        <w:t xml:space="preserve">“Measuring Progress Toward AGI: A Cognitive Framework.”</w:t>
      </w:r>
    </w:p>
    <w:p>
      <w:pPr>
        <w:pStyle w:val="Compact"/>
        <w:numPr>
          <w:ilvl w:val="0"/>
          <w:numId w:val="1002"/>
        </w:numPr>
      </w:pPr>
      <w:r>
        <w:t xml:space="preserve">Bond, A. H. (2026).</w:t>
      </w:r>
      <w:r>
        <w:t xml:space="preserve"> </w:t>
      </w:r>
      <w:r>
        <w:rPr>
          <w:i/>
          <w:iCs/>
        </w:rPr>
        <w:t xml:space="preserve">Geometric Methods in Computational Modeling.</w:t>
      </w:r>
      <w:r>
        <w:t xml:space="preserve"> </w:t>
      </w:r>
      <w:r>
        <w:t xml:space="preserve">SJSU.</w:t>
      </w:r>
    </w:p>
    <w:p>
      <w:pPr>
        <w:pStyle w:val="Compact"/>
        <w:numPr>
          <w:ilvl w:val="0"/>
          <w:numId w:val="1002"/>
        </w:numPr>
      </w:pPr>
      <w:r>
        <w:t xml:space="preserve">Perez, E., et al. (2023).</w:t>
      </w:r>
      <w:r>
        <w:t xml:space="preserve"> </w:t>
      </w:r>
      <w:r>
        <w:t xml:space="preserve">“Model-Written Evaluations.”</w:t>
      </w:r>
      <w:r>
        <w:t xml:space="preserve"> </w:t>
      </w:r>
      <w:r>
        <w:rPr>
          <w:i/>
          <w:iCs/>
        </w:rPr>
        <w:t xml:space="preserve">ACL Findings.</w:t>
      </w:r>
    </w:p>
    <w:p>
      <w:pPr>
        <w:pStyle w:val="Compact"/>
        <w:numPr>
          <w:ilvl w:val="0"/>
          <w:numId w:val="1002"/>
        </w:numPr>
      </w:pPr>
      <w:r>
        <w:t xml:space="preserve">OsamaBsher.</w:t>
      </w:r>
      <w:r>
        <w:t xml:space="preserve"> </w:t>
      </w:r>
      <w:r>
        <w:rPr>
          <w:i/>
          <w:iCs/>
        </w:rPr>
        <w:t xml:space="preserve">AITA-Reddit-Dataset.</w:t>
      </w:r>
      <w:r>
        <w:t xml:space="preserve"> </w:t>
      </w:r>
      <w:r>
        <w:t xml:space="preserve">HuggingFace.</w:t>
      </w:r>
    </w:p>
    <w:p>
      <w:pPr>
        <w:pStyle w:val="Compact"/>
        <w:numPr>
          <w:ilvl w:val="0"/>
          <w:numId w:val="1002"/>
        </w:numPr>
      </w:pPr>
      <w:r>
        <w:t xml:space="preserve">Fisher, R. A. (1925).</w:t>
      </w:r>
      <w:r>
        <w:t xml:space="preserve"> </w:t>
      </w:r>
      <w:r>
        <w:rPr>
          <w:i/>
          <w:iCs/>
        </w:rPr>
        <w:t xml:space="preserve">Statistical Methods for Research Workers.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2026-03-26T02:14:12Z</dcterms:created>
  <dcterms:modified xsi:type="dcterms:W3CDTF">2026-03-26T02:14:12Z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