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665a0f88417ae601420a03974830add5bc7f5a"/>
    <w:p>
      <w:pPr>
        <w:pStyle w:val="Heading3"/>
      </w:pPr>
      <w:r>
        <w:t xml:space="preserve">Geometric Metacognition: Do Models Know When They’re Wrong?</w:t>
      </w:r>
    </w:p>
    <w:bookmarkEnd w:id="9"/>
    <w:bookmarkStart w:id="10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t xml:space="preserve">Andrew H. Bond, Sr. Member IEEE, San Jose State University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A model that reports 9/10 confidence on everything is metacognitively blind, even if it is accurate 90% of the time. Metacognition — knowing what you know and what you don’t — requires that confidence</w:t>
      </w:r>
      <w:r>
        <w:t xml:space="preserve"> </w:t>
      </w:r>
      <w:r>
        <w:rPr>
          <w:i/>
          <w:iCs/>
        </w:rPr>
        <w:t xml:space="preserve">tracks</w:t>
      </w:r>
      <w:r>
        <w:t xml:space="preserve"> </w:t>
      </w:r>
      <w:r>
        <w:t xml:space="preserve">accuracy, not just sits near it on average. Current evaluations rarely test whether models can judge their own reliability, detect errors, or adjust strategy when failing. This benchmark isolates the</w:t>
      </w:r>
      <w:r>
        <w:t xml:space="preserve"> </w:t>
      </w:r>
      <w:r>
        <w:rPr>
          <w:b/>
          <w:bCs/>
        </w:rPr>
        <w:t xml:space="preserve">metacognition</w:t>
      </w:r>
      <w:r>
        <w:t xml:space="preserve"> </w:t>
      </w:r>
      <w:r>
        <w:t xml:space="preserve">faculty from Google DeepMind’s cognitive framework [1] across four separable sub-capabilities: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M1 (Calibration):</w:t>
      </w:r>
      <w:r>
        <w:t xml:space="preserve"> </w:t>
      </w:r>
      <w:r>
        <w:t xml:space="preserve">Does stated confidence match observed accuracy? (Headline: 9.3σ systematic miscalibration)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 (Ambiguity Discrimination):</w:t>
      </w:r>
      <w:r>
        <w:t xml:space="preserve"> </w:t>
      </w:r>
      <w:r>
        <w:t xml:space="preserve">Can the model tell clear-cut cases from genuinely ambiguous ones?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M3 (Self-Monitoring):</w:t>
      </w:r>
      <w:r>
        <w:t xml:space="preserve"> </w:t>
      </w:r>
      <w:r>
        <w:t xml:space="preserve">Can the model identify which scenarios it is most uncertain about?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M4 (Strategy Selection):</w:t>
      </w:r>
      <w:r>
        <w:t xml:space="preserve"> </w:t>
      </w:r>
      <w:r>
        <w:t xml:space="preserve">Does reasoning effort scale with problem complexity?</w:t>
      </w:r>
    </w:p>
    <w:p>
      <w:pPr>
        <w:pStyle w:val="FirstParagraph"/>
      </w:pPr>
      <w:r>
        <w:rPr>
          <w:b/>
          <w:bCs/>
        </w:rPr>
        <w:t xml:space="preserve">Ground truth is verifiable.</w:t>
      </w:r>
      <w:r>
        <w:t xml:space="preserve"> </w:t>
      </w:r>
      <w:r>
        <w:t xml:space="preserve">ECE compares stated confidence against observed accuracy — a measurement, not a subjective judgment. Ambiguity discrimination uses scenarios with known difficulty levels (high-agreement NTA/YTA vs. split ESH/NAH verdicts).</w:t>
      </w:r>
    </w:p>
    <w:p>
      <w:pPr>
        <w:pStyle w:val="BodyText"/>
      </w:pPr>
      <w:r>
        <w:rPr>
          <w:b/>
          <w:bCs/>
        </w:rPr>
        <w:t xml:space="preserve">The key design insight:</w:t>
      </w:r>
      <w:r>
        <w:t xml:space="preserve"> </w:t>
      </w:r>
      <w:r>
        <w:t xml:space="preserve">M1–M4 test</w:t>
      </w:r>
      <w:r>
        <w:t xml:space="preserve"> </w:t>
      </w:r>
      <w:r>
        <w:rPr>
          <w:i/>
          <w:iCs/>
        </w:rPr>
        <w:t xml:space="preserve">separable</w:t>
      </w:r>
      <w:r>
        <w:t xml:space="preserve"> </w:t>
      </w:r>
      <w:r>
        <w:t xml:space="preserve">metacognitive capabilities. By measuring all four, we can identify dissociations — a model might be well-calibrated (M1) but not effort-adaptive (M4), or vice versa. This profile structure is invisible to any single metacognitive metric.</w:t>
      </w:r>
    </w:p>
    <w:bookmarkEnd w:id="11"/>
    <w:bookmarkStart w:id="12" w:name="task-benchmark-construction"/>
    <w:p>
      <w:pPr>
        <w:pStyle w:val="Heading3"/>
      </w:pPr>
      <w:r>
        <w:t xml:space="preserve">Task &amp; Benchmark Construction</w:t>
      </w:r>
    </w:p>
    <w:p>
      <w:pPr>
        <w:pStyle w:val="FirstParagraph"/>
      </w:pPr>
      <w:r>
        <w:rPr>
          <w:b/>
          <w:bCs/>
        </w:rPr>
        <w:t xml:space="preserve">Calibration surface mapping (M1).</w:t>
      </w:r>
      <w:r>
        <w:t xml:space="preserve"> </w:t>
      </w:r>
      <w:r>
        <w:t xml:space="preserve">Models judge AITA scenarios with confidence ratings (0–10). Expected Calibration Error (ECE) is computed with 5 bins and bootstrap standard error (200 iterations). Both self-reported confidence and behavioral confidence (percentage of control replications agreeing with the verdict) are measured, providing independent calibration estimates.</w:t>
      </w:r>
    </w:p>
    <w:p>
      <w:pPr>
        <w:pStyle w:val="BodyText"/>
      </w:pPr>
      <w:r>
        <w:rPr>
          <w:b/>
          <w:bCs/>
        </w:rPr>
        <w:t xml:space="preserve">Rank-based discrimination (M2).</w:t>
      </w:r>
      <w:r>
        <w:t xml:space="preserve"> </w:t>
      </w:r>
      <w:r>
        <w:t xml:space="preserve">Raw confidence gaps between clear and ambiguous cases are tiny (0.13–0.54 on a 0–10 scale) because models compress confidence into 8–10. The fix: AUROC measures</w:t>
      </w:r>
      <w:r>
        <w:t xml:space="preserve"> </w:t>
      </w:r>
      <w:r>
        <w:rPr>
          <w:i/>
          <w:iCs/>
        </w:rPr>
        <w:t xml:space="preserve">rank-order</w:t>
      </w:r>
      <w:r>
        <w:t xml:space="preserve"> </w:t>
      </w:r>
      <w:r>
        <w:t xml:space="preserve">discrimination. For every (clear, ambiguous) pair, does the clear scenario have higher confidence? This captures ordering even when absolute values are compressed — a methodological contribution applicable to any calibration benchmark.</w:t>
      </w:r>
    </w:p>
    <w:p>
      <w:pPr>
        <w:pStyle w:val="BodyText"/>
      </w:pPr>
      <w:r>
        <w:rPr>
          <w:b/>
          <w:bCs/>
        </w:rPr>
        <w:t xml:space="preserve">Self-monitoring (M3).</w:t>
      </w:r>
      <w:r>
        <w:t xml:space="preserve"> </w:t>
      </w:r>
      <w:r>
        <w:t xml:space="preserve">Models evaluate 12 scenarios × 5 replications. A final ranking query asks the model to identify its least-certain scenarios. Spearman correlation between self-reported uncertainty ranking and actual verdict variance across replications measures metacognitive access.</w:t>
      </w:r>
    </w:p>
    <w:p>
      <w:pPr>
        <w:pStyle w:val="BodyText"/>
      </w:pPr>
      <w:r>
        <w:rPr>
          <w:b/>
          <w:bCs/>
        </w:rPr>
        <w:t xml:space="preserve">Strategy scaling (M4).</w:t>
      </w:r>
      <w:r>
        <w:t xml:space="preserve"> </w:t>
      </w:r>
      <w:r>
        <w:t xml:space="preserve">Simple (2-party, short) and complex (multi-party, long) scenarios are evaluated with unconstrained response length. The length ratio (complex/simple) measures whether reasoning effort adapts to difficulty.</w:t>
      </w:r>
    </w:p>
    <w:p>
      <w:pPr>
        <w:pStyle w:val="BodyText"/>
      </w:pPr>
      <w:r>
        <w:rPr>
          <w:b/>
          <w:bCs/>
        </w:rPr>
        <w:t xml:space="preserve">Statistical controls.</w:t>
      </w:r>
      <w:r>
        <w:t xml:space="preserve"> </w:t>
      </w:r>
      <w:r>
        <w:t xml:space="preserve">5-replication control arms on M1/M2. Budget-aware execution scales scenario counts by model cost (Tier 0: 100 M1 scenarios for cheap models, Tier 6: 18 for expensive). Bootstrap SE on ECE. Fisher combination across models.</w:t>
      </w:r>
    </w:p>
    <w:bookmarkEnd w:id="12"/>
    <w:bookmarkStart w:id="1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AITA (HuggingFace, OsamaBsher/AITA-Reddit-Dataset) [4].</w:t>
      </w:r>
      <w:r>
        <w:t xml:space="preserve"> </w:t>
      </w:r>
      <w:r>
        <w:t xml:space="preserve">270,709 posts. M1 uses gold (6) + probes (6) + AITA scenarios (up to 88 per model, budget-scaled). M2 uses 15 clear-cut (high agreement, score≥20) + 15 ambiguous (ESH/NAH) scenarios.</w:t>
      </w:r>
    </w:p>
    <w:p>
      <w:pPr>
        <w:pStyle w:val="BodyText"/>
      </w:pPr>
      <w:r>
        <w:rPr>
          <w:b/>
          <w:bCs/>
        </w:rPr>
        <w:t xml:space="preserve">Dear Abby (embedded).</w:t>
      </w:r>
      <w:r>
        <w:t xml:space="preserve"> </w:t>
      </w:r>
      <w:r>
        <w:t xml:space="preserve">25 curated scenarios. M3: 12 scenarios × 5 reps. M4: 15 simple + 15 complex scenarios with hand-labeled complexity.</w:t>
      </w:r>
    </w:p>
    <w:p>
      <w:pPr>
        <w:pStyle w:val="BodyText"/>
      </w:pPr>
      <w:r>
        <w:rPr>
          <w:b/>
          <w:bCs/>
        </w:rPr>
        <w:t xml:space="preserve">Gold calibration set (embedded).</w:t>
      </w:r>
      <w:r>
        <w:t xml:space="preserve"> </w:t>
      </w:r>
      <w:r>
        <w:t xml:space="preserve">6 hand-audited scenarios with known verdicts and difficulty annotations providing maximum interpretive confidence.</w:t>
      </w:r>
    </w:p>
    <w:bookmarkEnd w:id="13"/>
    <w:bookmarkStart w:id="1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4 Gemini models full-suite (2.0 Flash, 2.5 Flash, 2.5 Pro, 3 Flash Preview) on M1–M4. Claude Sonnet 4.6 on M1 gold probes for cross-family validation. All responses use schema-enforced structured output (confidence, verdict, reasoning, harm vector) via kaggle-benchmarks SDK.</w:t>
      </w:r>
    </w:p>
    <w:p>
      <w:pPr>
        <w:pStyle w:val="BodyText"/>
      </w:pPr>
      <w:r>
        <w:rPr>
          <w:b/>
          <w:bCs/>
        </w:rPr>
        <w:t xml:space="preserve">Composite scoring.</w:t>
      </w:r>
      <w:r>
        <w:t xml:space="preserve"> </w:t>
      </w:r>
      <w:r>
        <w:t xml:space="preserve">M1=35%, M2=25%, M3=20%, M4=20%. M1 weighted highest as the headline calibration test with ECE — the most established and interpretable metacognitive metric.</w:t>
      </w:r>
    </w:p>
    <w:p>
      <w:pPr>
        <w:pStyle w:val="BodyText"/>
      </w:pPr>
      <w:r>
        <w:rPr>
          <w:b/>
          <w:bCs/>
        </w:rPr>
        <w:t xml:space="preserve">Budget.</w:t>
      </w:r>
      <w:r>
        <w:t xml:space="preserve"> </w:t>
      </w:r>
      <w:r>
        <w:t xml:space="preserve">~$50 of $50 quota. ~600 API calls. Runtime: ~7 minutes.</w:t>
      </w:r>
    </w:p>
    <w:bookmarkEnd w:id="14"/>
    <w:bookmarkStart w:id="15" w:name="results-insights-and-conclusions"/>
    <w:p>
      <w:pPr>
        <w:pStyle w:val="Heading3"/>
      </w:pPr>
      <w:r>
        <w:t xml:space="preserve">Results, Insights, and Conclusions</w:t>
      </w:r>
    </w:p>
    <w:p>
      <w:pPr>
        <w:pStyle w:val="FirstParagraph"/>
      </w:pPr>
      <w:r>
        <w:rPr>
          <w:b/>
          <w:bCs/>
        </w:rPr>
        <w:t xml:space="preserve">M1 Calibration (headline — per-model ECE gradient):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ECE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  <w:tc>
          <w:tcPr/>
          <w:p>
            <w:pPr>
              <w:pStyle w:val="Compact"/>
            </w:pPr>
            <w:r>
              <w:t xml:space="preserve">6.2σ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  <w:tc>
          <w:tcPr/>
          <w:p>
            <w:pPr>
              <w:pStyle w:val="Compact"/>
            </w:pPr>
            <w:r>
              <w:t xml:space="preserve">7.0σ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  <w:tc>
          <w:tcPr/>
          <w:p>
            <w:pPr>
              <w:pStyle w:val="Compact"/>
            </w:pPr>
            <w:r>
              <w:t xml:space="preserve">4.5σ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  <w:tc>
          <w:tcPr/>
          <w:p>
            <w:pPr>
              <w:pStyle w:val="Compact"/>
            </w:pPr>
            <w:r>
              <w:t xml:space="preserve">2.2σ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Fisher combined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6.0σ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benchmark reveals that prior evaluations cannot:</w:t>
      </w:r>
    </w:p>
    <w:p>
      <w:pPr>
        <w:pStyle w:val="BodyText"/>
      </w:pPr>
      <w:r>
        <w:rPr>
          <w:b/>
          <w:bCs/>
        </w:rPr>
        <w:t xml:space="preserve">1. Systematic miscalibration is universal.</w:t>
      </w:r>
      <w:r>
        <w:t xml:space="preserve"> </w:t>
      </w:r>
      <w:r>
        <w:t xml:space="preserve">Every model tested — across both Gemini and Claude families — is overconfident in the same direction. ECE ranges from 0.19 (Pro) to 0.42 (Flash 2.0/2.5), providing a clear discriminatory gradient. Cross-family validation on Claude (ECE=0.25) confirms this is architectural, not family-specific.</w:t>
      </w:r>
    </w:p>
    <w:p>
      <w:pPr>
        <w:pStyle w:val="BodyText"/>
      </w:pPr>
      <w:r>
        <w:rPr>
          <w:b/>
          <w:bCs/>
        </w:rPr>
        <w:t xml:space="preserve">2. Calibration improves with model scale.</w:t>
      </w:r>
      <w:r>
        <w:t xml:space="preserve"> </w:t>
      </w:r>
      <w:r>
        <w:t xml:space="preserve">Pro (0.19) is significantly better than Flash variants (0.33–0.42). This gradient tracks model capability, suggesting calibration is a learnable property that scales — a finding with direct implications for deployment decisions.</w:t>
      </w:r>
    </w:p>
    <w:p>
      <w:pPr>
        <w:pStyle w:val="BodyText"/>
      </w:pPr>
      <w:r>
        <w:rPr>
          <w:b/>
          <w:bCs/>
        </w:rPr>
        <w:t xml:space="preserve">3. Self-monitoring and calibration are linked (M3).</w:t>
      </w:r>
      <w:r>
        <w:t xml:space="preserve"> </w:t>
      </w:r>
      <w:r>
        <w:t xml:space="preserve">Flash 2.0 scores 0.047; Pro scores 0.500. The better-calibrated model can also identify its own uncertain scenarios — suggesting these draw on a shared self-knowledge capacity.</w:t>
      </w:r>
    </w:p>
    <w:p>
      <w:pPr>
        <w:pStyle w:val="BodyText"/>
      </w:pPr>
      <w:r>
        <w:rPr>
          <w:b/>
          <w:bCs/>
        </w:rPr>
        <w:t xml:space="preserve">4. Strategy selection is an independent metacognitive axis (M4).</w:t>
      </w:r>
      <w:r>
        <w:t xml:space="preserve"> </w:t>
      </w:r>
      <w:r>
        <w:t xml:space="preserve">Flash 2.0 scores 0.715 (strong effort scaling); Pro scores 0.000 (uniform regardless of complexity). The larger model writes uniformly while the smaller adapts. This dissociation — Pro is better calibrated but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effort-adaptive — proves metacognition is not a single dimension. Per-capability profiles reveal structure that composite scores destroy.</w:t>
      </w:r>
    </w:p>
    <w:p>
      <w:pPr>
        <w:pStyle w:val="BodyText"/>
      </w:pPr>
      <w:r>
        <w:rPr>
          <w:b/>
          <w:bCs/>
        </w:rPr>
        <w:t xml:space="preserve">Cross-track insight:</w:t>
      </w:r>
      <w:r>
        <w:t xml:space="preserve"> </w:t>
      </w:r>
      <w:r>
        <w:t xml:space="preserve">Pro’s poor strategy adaptation (M4=0.000) contrasts with its best counterfactual sensitivity (E3=0.750) in the Executive Functions benchmark — it adapts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reasons about but not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it reasons. This dissociation is invisible without cross-domain profiling.</w:t>
      </w:r>
    </w:p>
    <w:bookmarkEnd w:id="15"/>
    <w:bookmarkStart w:id="16" w:name="organizational-affiliations"/>
    <w:p>
      <w:pPr>
        <w:pStyle w:val="Heading3"/>
      </w:pPr>
      <w:r>
        <w:t xml:space="preserve">Organizational Affiliations</w:t>
      </w:r>
    </w:p>
    <w:p>
      <w:pPr>
        <w:pStyle w:val="FirstParagraph"/>
      </w:pPr>
      <w:r>
        <w:t xml:space="preserve">San Jose State University, Department of Computer Engineering</w:t>
      </w:r>
    </w:p>
    <w:bookmarkEnd w:id="16"/>
    <w:bookmarkStart w:id="17" w:name="references-citations"/>
    <w:p>
      <w:pPr>
        <w:pStyle w:val="Heading3"/>
      </w:pPr>
      <w:r>
        <w:t xml:space="preserve">References &amp; Citations</w:t>
      </w:r>
    </w:p>
    <w:p>
      <w:pPr>
        <w:pStyle w:val="Compact"/>
        <w:numPr>
          <w:ilvl w:val="0"/>
          <w:numId w:val="1002"/>
        </w:numPr>
      </w:pPr>
      <w:r>
        <w:t xml:space="preserve">Google DeepMind (2026).</w:t>
      </w:r>
      <w:r>
        <w:t xml:space="preserve"> </w:t>
      </w:r>
      <w:r>
        <w:t xml:space="preserve">“Measuring Progress Toward AGI: A Cognitive Framework.”</w:t>
      </w:r>
    </w:p>
    <w:p>
      <w:pPr>
        <w:pStyle w:val="Compact"/>
        <w:numPr>
          <w:ilvl w:val="0"/>
          <w:numId w:val="1002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Methods in Computational Modeling.</w:t>
      </w:r>
      <w:r>
        <w:t xml:space="preserve"> </w:t>
      </w:r>
      <w:r>
        <w:t xml:space="preserve">SJSU.</w:t>
      </w:r>
    </w:p>
    <w:p>
      <w:pPr>
        <w:pStyle w:val="Compact"/>
        <w:numPr>
          <w:ilvl w:val="0"/>
          <w:numId w:val="1002"/>
        </w:numPr>
      </w:pPr>
      <w:r>
        <w:t xml:space="preserve">Kadavath, S., et al. (2022).</w:t>
      </w:r>
      <w:r>
        <w:t xml:space="preserve"> </w:t>
      </w:r>
      <w:r>
        <w:t xml:space="preserve">“Language Models (Mostly) Know What They Know.”</w:t>
      </w:r>
      <w:r>
        <w:t xml:space="preserve"> </w:t>
      </w:r>
      <w:r>
        <w:rPr>
          <w:i/>
          <w:iCs/>
        </w:rPr>
        <w:t xml:space="preserve">arXiv:2207.05221.</w:t>
      </w:r>
    </w:p>
    <w:p>
      <w:pPr>
        <w:pStyle w:val="Compact"/>
        <w:numPr>
          <w:ilvl w:val="0"/>
          <w:numId w:val="1002"/>
        </w:numPr>
      </w:pPr>
      <w:r>
        <w:t xml:space="preserve">OsamaBsher.</w:t>
      </w:r>
      <w:r>
        <w:t xml:space="preserve"> </w:t>
      </w:r>
      <w:r>
        <w:rPr>
          <w:i/>
          <w:iCs/>
        </w:rPr>
        <w:t xml:space="preserve">AITA-Reddit-Dataset.</w:t>
      </w:r>
      <w:r>
        <w:t xml:space="preserve"> </w:t>
      </w:r>
      <w:r>
        <w:t xml:space="preserve">HuggingFace.</w:t>
      </w:r>
    </w:p>
    <w:p>
      <w:pPr>
        <w:pStyle w:val="Compact"/>
        <w:numPr>
          <w:ilvl w:val="0"/>
          <w:numId w:val="1002"/>
        </w:numPr>
      </w:pPr>
      <w:r>
        <w:t xml:space="preserve">Fisher, R. A. (1925).</w:t>
      </w:r>
      <w:r>
        <w:t xml:space="preserve"> </w:t>
      </w:r>
      <w:r>
        <w:rPr>
          <w:i/>
          <w:iCs/>
        </w:rPr>
        <w:t xml:space="preserve">Statistical Methods for Research Workers.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2026-03-26T01:41:49Z</dcterms:created>
  <dcterms:modified xsi:type="dcterms:W3CDTF">2026-03-26T01:41:49Z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