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f9bf34269e3d3154a12730cabe830c82b37be6"/>
    <w:p>
      <w:pPr>
        <w:pStyle w:val="Heading3"/>
      </w:pPr>
      <w:r>
        <w:t xml:space="preserve">Moral Geometry: Five Geometric Tests of Social Cognition</w:t>
      </w:r>
    </w:p>
    <w:bookmarkEnd w:id="9"/>
    <w:bookmarkStart w:id="10" w:name="team"/>
    <w:p>
      <w:pPr>
        <w:pStyle w:val="Heading3"/>
      </w:pPr>
      <w:r>
        <w:t xml:space="preserve">Team</w:t>
      </w:r>
    </w:p>
    <w:p>
      <w:pPr>
        <w:pStyle w:val="FirstParagraph"/>
      </w:pPr>
      <w:r>
        <w:t xml:space="preserve">Andrew H. Bond, Sr. Member IEEE, San Jose State University</w:t>
      </w:r>
    </w:p>
    <w:bookmarkEnd w:id="10"/>
    <w:bookmarkStart w:id="11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Standard evaluations collapse model behavior to a scalar — accuracy, agreement rate, bias score — then declare success when it crosses a threshold. For a system evaluated across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dimensions, any scalar summary destroys</w:t>
      </w:r>
      <w:r>
        <w:t xml:space="preserve"> </w:t>
      </w:r>
      <w:r>
        <w:rPr>
          <w:i/>
          <w:iCs/>
        </w:rPr>
        <w:t xml:space="preserve">n</w:t>
      </w:r>
      <w:r>
        <w:t xml:space="preserve">−1 independent directions of variation (Bond, 2026). Two models with identical</w:t>
      </w:r>
      <w:r>
        <w:t xml:space="preserve"> </w:t>
      </w:r>
      <w:r>
        <w:t xml:space="preserve">“bias scores”</w:t>
      </w:r>
      <w:r>
        <w:t xml:space="preserve"> </w:t>
      </w:r>
      <w:r>
        <w:t xml:space="preserve">may have completely different vulnerability profiles that only multi-dimensional measurement can reveal.</w:t>
      </w:r>
    </w:p>
    <w:p>
      <w:pPr>
        <w:pStyle w:val="BodyText"/>
      </w:pPr>
      <w:r>
        <w:t xml:space="preserve">This benchmark isolates the</w:t>
      </w:r>
      <w:r>
        <w:t xml:space="preserve"> </w:t>
      </w:r>
      <w:r>
        <w:rPr>
          <w:b/>
          <w:bCs/>
        </w:rPr>
        <w:t xml:space="preserve">social cognition</w:t>
      </w:r>
      <w:r>
        <w:t xml:space="preserve"> </w:t>
      </w:r>
      <w:r>
        <w:t xml:space="preserve">faculty from Google DeepMind’s cognitive framework [1] by treating moral judgment as a point in a 7-dimensional harm space and applying five geometric tests that reveal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socially relevant perturbations move judgments 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do not: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T1 (Structural Fuzzing):</w:t>
      </w:r>
      <w:r>
        <w:t xml:space="preserve"> </w:t>
      </w:r>
      <w:r>
        <w:t xml:space="preserve">Sensitivity profile — which moral dimensions respond most to perturbation?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T2 (Invariance):</w:t>
      </w:r>
      <w:r>
        <w:t xml:space="preserve"> </w:t>
      </w:r>
      <w:r>
        <w:t xml:space="preserve">Is the judgment stable under gender swap and cultural reframe?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T3 (Holonomy):</w:t>
      </w:r>
      <w:r>
        <w:t xml:space="preserve"> </w:t>
      </w:r>
      <w:r>
        <w:t xml:space="preserve">Does narrative order (victim-first vs. context-first) change the verdict?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T4 (Order Sensitivity):</w:t>
      </w:r>
      <w:r>
        <w:t xml:space="preserve"> </w:t>
      </w:r>
      <w:r>
        <w:t xml:space="preserve">Does the order of dimensional evaluation affect scores?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T5 (Framing Sensitivity):</w:t>
      </w:r>
      <w:r>
        <w:t xml:space="preserve"> </w:t>
      </w:r>
      <w:r>
        <w:t xml:space="preserve">Euphemistic vs. dramatic rewriting — how much does surface framing displace judgment while holding moral content constant? (Headline: 8.9σ)</w:t>
      </w:r>
    </w:p>
    <w:p>
      <w:pPr>
        <w:pStyle w:val="FirstParagraph"/>
      </w:pPr>
      <w:r>
        <w:rPr>
          <w:b/>
          <w:bCs/>
        </w:rPr>
        <w:t xml:space="preserve">Ground truth is defined by invariance:</w:t>
      </w:r>
      <w:r>
        <w:t xml:space="preserve"> </w:t>
      </w:r>
      <w:r>
        <w:t xml:space="preserve">each transform preserves moral content by construction. Gender swap changes pronouns; euphemistic rewriting softens tone. The moral facts remain identical. Any displacement is an unambiguous measurement, not a matter of opinion.</w:t>
      </w:r>
    </w:p>
    <w:bookmarkEnd w:id="11"/>
    <w:bookmarkStart w:id="12" w:name="task-benchmark-construction"/>
    <w:p>
      <w:pPr>
        <w:pStyle w:val="Heading3"/>
      </w:pPr>
      <w:r>
        <w:t xml:space="preserve">Task &amp; Benchmark Construction</w:t>
      </w:r>
    </w:p>
    <w:p>
      <w:pPr>
        <w:pStyle w:val="FirstParagraph"/>
      </w:pPr>
      <w:r>
        <w:rPr>
          <w:b/>
          <w:bCs/>
        </w:rPr>
        <w:t xml:space="preserve">Framing as adversarial probing (T5, headline).</w:t>
      </w:r>
      <w:r>
        <w:t xml:space="preserve"> </w:t>
      </w:r>
      <w:r>
        <w:t xml:space="preserve">Scenarios are rewritten in euphemistic and dramatic registers by a fixed transformer model (Gemini 2.0 Flash). Test models only judge pre-generated text — separating stimulus generation from judgment and eliminating self-confirming loops. Three data tiers: gold (16 hand-audited scenarios with human-written euphemistic and dramatic rewrites), probe (8 synthetic minimal pairs), generated (Dear Abby scenarios with LLM transforms).</w:t>
      </w:r>
    </w:p>
    <w:p>
      <w:pPr>
        <w:pStyle w:val="BodyText"/>
      </w:pPr>
      <w:r>
        <w:rPr>
          <w:b/>
          <w:bCs/>
        </w:rPr>
        <w:t xml:space="preserve">Invariance testing (T2).</w:t>
      </w:r>
      <w:r>
        <w:t xml:space="preserve"> </w:t>
      </w:r>
      <w:r>
        <w:t xml:space="preserve">Gender-swap and cultural-reframe transforms should not change moral verdicts. Displacement is measured against empirical stochastic controls (5-replication arms), not against null=0 — a methodological distinction that proved consequential across all tests.</w:t>
      </w:r>
    </w:p>
    <w:p>
      <w:pPr>
        <w:pStyle w:val="BodyText"/>
      </w:pPr>
      <w:r>
        <w:rPr>
          <w:b/>
          <w:bCs/>
        </w:rPr>
        <w:t xml:space="preserve">Statistical controls.</w:t>
      </w:r>
      <w:r>
        <w:t xml:space="preserve"> </w:t>
      </w:r>
      <w:r>
        <w:t xml:space="preserve">5-replication control arms. All significance tests against empirical baselines. Wilson 95% CIs. Fisher combination across models. Structured output via kaggle-benchmarks SDK (7-dimensional harm vector + verdict + confidence per scenario).</w:t>
      </w:r>
    </w:p>
    <w:bookmarkEnd w:id="12"/>
    <w:bookmarkStart w:id="13" w:name="dataset"/>
    <w:p>
      <w:pPr>
        <w:pStyle w:val="Heading3"/>
      </w:pPr>
      <w:r>
        <w:t xml:space="preserve">Dataset</w:t>
      </w:r>
    </w:p>
    <w:p>
      <w:pPr>
        <w:pStyle w:val="FirstParagraph"/>
      </w:pPr>
      <w:r>
        <w:rPr>
          <w:b/>
          <w:bCs/>
        </w:rPr>
        <w:t xml:space="preserve">Dear Abby (embedded).</w:t>
      </w:r>
      <w:r>
        <w:t xml:space="preserve"> </w:t>
      </w:r>
      <w:r>
        <w:t xml:space="preserve">50 curated advice-column scenarios (1985–2017) covering family, workplace, friendship, professional, and community moral domains.</w:t>
      </w:r>
    </w:p>
    <w:p>
      <w:pPr>
        <w:pStyle w:val="BodyText"/>
      </w:pPr>
      <w:r>
        <w:rPr>
          <w:b/>
          <w:bCs/>
        </w:rPr>
        <w:t xml:space="preserve">AITA (HuggingFace, OsamaBsher/AITA-Reddit-Dataset) [5].</w:t>
      </w:r>
      <w:r>
        <w:t xml:space="preserve"> </w:t>
      </w:r>
      <w:r>
        <w:t xml:space="preserve">270,709 Reddit posts with community verdicts and agreement scores.</w:t>
      </w:r>
    </w:p>
    <w:p>
      <w:pPr>
        <w:pStyle w:val="BodyText"/>
      </w:pPr>
      <w:r>
        <w:rPr>
          <w:b/>
          <w:bCs/>
        </w:rPr>
        <w:t xml:space="preserve">Gold transforms (embedded).</w:t>
      </w:r>
      <w:r>
        <w:t xml:space="preserve"> </w:t>
      </w:r>
      <w:r>
        <w:t xml:space="preserve">16 scenarios with hand-written gender swaps, cultural reframes, euphemistic and dramatic rewrites, and narrative reorderings — each annotated with what is preserved and what changes.</w:t>
      </w:r>
    </w:p>
    <w:bookmarkEnd w:id="13"/>
    <w:bookmarkStart w:id="14" w:name="technical-details"/>
    <w:p>
      <w:pPr>
        <w:pStyle w:val="Heading3"/>
      </w:pPr>
      <w:r>
        <w:t xml:space="preserve">Technical Details</w:t>
      </w:r>
    </w:p>
    <w:p>
      <w:pPr>
        <w:pStyle w:val="FirstParagraph"/>
      </w:pPr>
      <w:r>
        <w:rPr>
          <w:b/>
          <w:bCs/>
        </w:rPr>
        <w:t xml:space="preserve">Models.</w:t>
      </w:r>
      <w:r>
        <w:t xml:space="preserve"> </w:t>
      </w:r>
      <w:r>
        <w:t xml:space="preserve">5 full-suite (Gemini 2.0 Flash, 2.5 Flash, 3 Flash Preview, 2.5 Pro, Claude Sonnet 4.6). Cross-family design enables genuine architectural comparison beyond the Gemini family.</w:t>
      </w:r>
    </w:p>
    <w:p>
      <w:pPr>
        <w:pStyle w:val="BodyText"/>
      </w:pPr>
      <w:r>
        <w:rPr>
          <w:b/>
          <w:bCs/>
        </w:rPr>
        <w:t xml:space="preserve">7 harm dimensions.</w:t>
      </w:r>
      <w:r>
        <w:t xml:space="preserve"> </w:t>
      </w:r>
      <w:r>
        <w:t xml:space="preserve">Consequences, rights, fairness, autonomy, trust, social_impact, identity — each scored 0–10, total 0–70. Enforced via structured dataclass output on all API calls.</w:t>
      </w:r>
    </w:p>
    <w:p>
      <w:pPr>
        <w:pStyle w:val="BodyText"/>
      </w:pPr>
      <w:r>
        <w:rPr>
          <w:b/>
          <w:bCs/>
        </w:rPr>
        <w:t xml:space="preserve">Budget.</w:t>
      </w:r>
      <w:r>
        <w:t xml:space="preserve"> </w:t>
      </w:r>
      <w:r>
        <w:t xml:space="preserve">~$17 of $50 quota. ~1,800 API calls. Runtime: 73 minutes.</w:t>
      </w:r>
    </w:p>
    <w:bookmarkEnd w:id="14"/>
    <w:bookmarkStart w:id="15" w:name="results-insights-and-conclusions"/>
    <w:p>
      <w:pPr>
        <w:pStyle w:val="Heading3"/>
      </w:pPr>
      <w:r>
        <w:t xml:space="preserve">Results, Insights, and Conclusions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T1: Fuzz</w:t>
            </w:r>
          </w:p>
        </w:tc>
        <w:tc>
          <w:tcPr/>
          <w:p>
            <w:pPr>
              <w:pStyle w:val="Compact"/>
            </w:pPr>
            <w:r>
              <w:t xml:space="preserve">T2: Invariance</w:t>
            </w:r>
          </w:p>
        </w:tc>
        <w:tc>
          <w:tcPr/>
          <w:p>
            <w:pPr>
              <w:pStyle w:val="Compact"/>
            </w:pPr>
            <w:r>
              <w:t xml:space="preserve">T3: Holo</w:t>
            </w:r>
          </w:p>
        </w:tc>
        <w:tc>
          <w:tcPr/>
          <w:p>
            <w:pPr>
              <w:pStyle w:val="Compact"/>
            </w:pPr>
            <w:r>
              <w:t xml:space="preserve">T4: Order</w:t>
            </w:r>
          </w:p>
        </w:tc>
        <w:tc>
          <w:tcPr/>
          <w:p>
            <w:pPr>
              <w:pStyle w:val="Compact"/>
            </w:pPr>
            <w:r>
              <w:t xml:space="preserve">T5: Frame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3 Flash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0.631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0.630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2.0 Flash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0.716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0.606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0.630</w:t>
            </w:r>
          </w:p>
        </w:tc>
        <w:tc>
          <w:tcPr/>
          <w:p>
            <w:pPr>
              <w:pStyle w:val="Compact"/>
            </w:pPr>
            <w:r>
              <w:t xml:space="preserve">0.628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benchmark reveals that prior evaluations cannot:</w:t>
      </w:r>
    </w:p>
    <w:p>
      <w:pPr>
        <w:pStyle w:val="BodyText"/>
      </w:pPr>
      <w:r>
        <w:rPr>
          <w:b/>
          <w:bCs/>
        </w:rPr>
        <w:t xml:space="preserve">1. Framing shifts perceived harm at 8.9σ (T5).</w:t>
      </w:r>
      <w:r>
        <w:t xml:space="preserve"> </w:t>
      </w:r>
      <w:r>
        <w:t xml:space="preserve">Euphemistic rewriting reduces harm scores by 10–16 points; dramatic rewriting increases by 6–11 (0–70 scale). Controls drift only 1–7 points. Fisher combination across 5 models × 2 framing types. Claude shows a unique</w:t>
      </w:r>
      <w:r>
        <w:t xml:space="preserve"> </w:t>
      </w:r>
      <w:r>
        <w:rPr>
          <w:b/>
          <w:bCs/>
        </w:rPr>
        <w:t xml:space="preserve">asymmetric vulnerability</w:t>
      </w:r>
      <w:r>
        <w:t xml:space="preserve">: susceptible to euphemistic minimization (drift=−9.1) but resistant to dramatic exaggeration (drift=−1.5). This directional pattern is invisible to any evaluation testing only one perturbation direction.</w:t>
      </w:r>
    </w:p>
    <w:p>
      <w:pPr>
        <w:pStyle w:val="BodyText"/>
      </w:pPr>
      <w:r>
        <w:rPr>
          <w:b/>
          <w:bCs/>
        </w:rPr>
        <w:t xml:space="preserve">2. Gender swap and evaluation order are NOT significant (T2/T4) — a validating null result.</w:t>
      </w:r>
      <w:r>
        <w:t xml:space="preserve"> </w:t>
      </w:r>
      <w:r>
        <w:t xml:space="preserve">Against empirical stochastic controls, these effects do not exceed baseline noise. The moral judgment manifold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possess some symmetries. This validates the benchmark design: the tool detects framing effects (T5) while correctly returning null for perturbations that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invariant.</w:t>
      </w:r>
    </w:p>
    <w:p>
      <w:pPr>
        <w:pStyle w:val="BodyText"/>
      </w:pPr>
      <w:r>
        <w:rPr>
          <w:b/>
          <w:bCs/>
        </w:rPr>
        <w:t xml:space="preserve">3. Cultural reframe is a real effect (4.1σ).</w:t>
      </w:r>
      <w:r>
        <w:t xml:space="preserve"> </w:t>
      </w:r>
      <w:r>
        <w:t xml:space="preserve">Cultural context produces verdict changes above stochastic noise — suggesting cultural framing may carry genuine moral information rather than being purely irrelevant. This positions cultural reframe as an exploratory finding, distinct from the clean invariance violations in T5.</w:t>
      </w:r>
    </w:p>
    <w:p>
      <w:pPr>
        <w:pStyle w:val="BodyText"/>
      </w:pPr>
      <w:r>
        <w:rPr>
          <w:b/>
          <w:bCs/>
        </w:rPr>
        <w:t xml:space="preserve">4. The selectivity pattern is the main insight.</w:t>
      </w:r>
      <w:r>
        <w:t xml:space="preserve"> </w:t>
      </w:r>
      <w:r>
        <w:t xml:space="preserve">Models resist gender swap and evaluation order but NOT euphemistic/dramatic framing. The perturbations that displace judgments are specifically those that manipulate</w:t>
      </w:r>
      <w:r>
        <w:t xml:space="preserve"> </w:t>
      </w:r>
      <w:r>
        <w:rPr>
          <w:i/>
          <w:iCs/>
        </w:rPr>
        <w:t xml:space="preserve">salience</w:t>
      </w:r>
      <w:r>
        <w:t xml:space="preserve">. This selective vulnerability structure is the diagnostic that multi-dimensional measurement reveals and that scalar robustness scores would hide.</w:t>
      </w:r>
    </w:p>
    <w:p>
      <w:pPr>
        <w:pStyle w:val="BodyText"/>
      </w:pPr>
      <w:r>
        <w:rPr>
          <w:b/>
          <w:bCs/>
        </w:rPr>
        <w:t xml:space="preserve">Cross-track insight:</w:t>
      </w:r>
      <w:r>
        <w:t xml:space="preserve"> </w:t>
      </w:r>
      <w:r>
        <w:t xml:space="preserve">Claude’s high invariance (T2=0.958) here contrasts with its zero sycophancy in the Learning benchmark (L2 wrong-flip=0%) — consistent robustness to invalid perturbations across different cognitive domains — while its worst-in-class divided attention (A4=0.571) reveals a specific attentional deficit that social cognition testing alone would not expose.</w:t>
      </w:r>
    </w:p>
    <w:bookmarkEnd w:id="15"/>
    <w:bookmarkStart w:id="16" w:name="organizational-affiliations"/>
    <w:p>
      <w:pPr>
        <w:pStyle w:val="Heading3"/>
      </w:pPr>
      <w:r>
        <w:t xml:space="preserve">Organizational Affiliations</w:t>
      </w:r>
    </w:p>
    <w:p>
      <w:pPr>
        <w:pStyle w:val="FirstParagraph"/>
      </w:pPr>
      <w:r>
        <w:t xml:space="preserve">San Jose State University, Department of Computer Engineering</w:t>
      </w:r>
    </w:p>
    <w:bookmarkEnd w:id="16"/>
    <w:bookmarkStart w:id="17" w:name="references-citations"/>
    <w:p>
      <w:pPr>
        <w:pStyle w:val="Heading3"/>
      </w:pPr>
      <w:r>
        <w:t xml:space="preserve">References &amp; Citations</w:t>
      </w:r>
    </w:p>
    <w:p>
      <w:pPr>
        <w:pStyle w:val="Compact"/>
        <w:numPr>
          <w:ilvl w:val="0"/>
          <w:numId w:val="1002"/>
        </w:numPr>
      </w:pPr>
      <w:r>
        <w:t xml:space="preserve">Google DeepMind (2026).</w:t>
      </w:r>
      <w:r>
        <w:t xml:space="preserve"> </w:t>
      </w:r>
      <w:r>
        <w:t xml:space="preserve">“Measuring Progress Toward AGI: A Cognitive Framework.”</w:t>
      </w:r>
    </w:p>
    <w:p>
      <w:pPr>
        <w:pStyle w:val="Compact"/>
        <w:numPr>
          <w:ilvl w:val="0"/>
          <w:numId w:val="1002"/>
        </w:numPr>
      </w:pPr>
      <w:r>
        <w:t xml:space="preserve">Bond, A. H. (2026).</w:t>
      </w:r>
      <w:r>
        <w:t xml:space="preserve"> </w:t>
      </w:r>
      <w:r>
        <w:rPr>
          <w:i/>
          <w:iCs/>
        </w:rPr>
        <w:t xml:space="preserve">Geometric Methods in Computational Modeling.</w:t>
      </w:r>
      <w:r>
        <w:t xml:space="preserve"> </w:t>
      </w:r>
      <w:r>
        <w:t xml:space="preserve">SJSU.</w:t>
      </w:r>
    </w:p>
    <w:p>
      <w:pPr>
        <w:pStyle w:val="Compact"/>
        <w:numPr>
          <w:ilvl w:val="0"/>
          <w:numId w:val="1002"/>
        </w:numPr>
      </w:pPr>
      <w:r>
        <w:t xml:space="preserve">Tversky, A. &amp; Kahneman, D. (1981).</w:t>
      </w:r>
      <w:r>
        <w:t xml:space="preserve"> </w:t>
      </w:r>
      <w:r>
        <w:t xml:space="preserve">“The Framing of Decisions.”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211(4481).</w:t>
      </w:r>
    </w:p>
    <w:p>
      <w:pPr>
        <w:pStyle w:val="Compact"/>
        <w:numPr>
          <w:ilvl w:val="0"/>
          <w:numId w:val="1002"/>
        </w:numPr>
      </w:pPr>
      <w:r>
        <w:t xml:space="preserve">Perez, E., et al. (2023).</w:t>
      </w:r>
      <w:r>
        <w:t xml:space="preserve"> </w:t>
      </w:r>
      <w:r>
        <w:t xml:space="preserve">“Model-Written Evaluations.”</w:t>
      </w:r>
      <w:r>
        <w:t xml:space="preserve"> </w:t>
      </w:r>
      <w:r>
        <w:rPr>
          <w:i/>
          <w:iCs/>
        </w:rPr>
        <w:t xml:space="preserve">ACL Findings.</w:t>
      </w:r>
    </w:p>
    <w:p>
      <w:pPr>
        <w:pStyle w:val="Compact"/>
        <w:numPr>
          <w:ilvl w:val="0"/>
          <w:numId w:val="1002"/>
        </w:numPr>
      </w:pPr>
      <w:r>
        <w:t xml:space="preserve">OsamaBsher.</w:t>
      </w:r>
      <w:r>
        <w:t xml:space="preserve"> </w:t>
      </w:r>
      <w:r>
        <w:rPr>
          <w:i/>
          <w:iCs/>
        </w:rPr>
        <w:t xml:space="preserve">AITA-Reddit-Dataset.</w:t>
      </w:r>
      <w:r>
        <w:t xml:space="preserve"> </w:t>
      </w:r>
      <w:r>
        <w:t xml:space="preserve">HuggingFace.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2026-03-26T01:41:50Z</dcterms:created>
  <dcterms:modified xsi:type="dcterms:W3CDTF">2026-03-26T01:41:50Z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